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C754A1">
      <w:pPr>
        <w:pStyle w:val="CRCoverPage"/>
        <w:tabs>
          <w:tab w:val="right" w:pos="9639"/>
        </w:tabs>
        <w:spacing w:after="0"/>
        <w:rPr>
          <w:b/>
          <w:noProof/>
          <w:sz w:val="24"/>
          <w:szCs w:val="24"/>
          <w:lang w:val="sv-SE"/>
        </w:rPr>
      </w:pPr>
      <w:r>
        <w:rPr>
          <w:b/>
          <w:noProof/>
          <w:sz w:val="24"/>
          <w:szCs w:val="24"/>
          <w:lang w:val="sv-SE"/>
        </w:rPr>
        <w:t>3GPP TSG-RAN2 #111e</w:t>
      </w:r>
      <w:r>
        <w:rPr>
          <w:b/>
          <w:noProof/>
          <w:sz w:val="24"/>
          <w:szCs w:val="24"/>
          <w:lang w:val="sv-SE"/>
        </w:rPr>
        <w:tab/>
        <w:t>R2-</w:t>
      </w:r>
      <w:r w:rsidR="009B68FB">
        <w:rPr>
          <w:b/>
          <w:noProof/>
          <w:sz w:val="24"/>
          <w:szCs w:val="24"/>
          <w:lang w:val="sv-SE"/>
        </w:rPr>
        <w:t>2008033</w:t>
      </w:r>
    </w:p>
    <w:p w:rsidR="009B141C" w:rsidRDefault="00C754A1">
      <w:pPr>
        <w:pStyle w:val="CRCoverPage"/>
        <w:outlineLvl w:val="0"/>
        <w:rPr>
          <w:b/>
          <w:noProof/>
          <w:sz w:val="24"/>
          <w:szCs w:val="24"/>
        </w:rPr>
      </w:pPr>
      <w:r>
        <w:rPr>
          <w:b/>
          <w:noProof/>
          <w:sz w:val="24"/>
          <w:szCs w:val="24"/>
        </w:rPr>
        <w:t>Electronic meeting, August 17 – August 28, 2020</w:t>
      </w:r>
      <w:bookmarkStart w:id="0" w:name="_GoBack"/>
      <w:bookmarkEnd w:id="0"/>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7A4C58">
        <w:rPr>
          <w:rFonts w:ascii="Arial" w:hAnsi="Arial"/>
          <w:sz w:val="24"/>
          <w:lang w:val="en-US" w:eastAsia="ko-KR"/>
        </w:rPr>
        <w:t>8.5.2 (</w:t>
      </w:r>
      <w:proofErr w:type="spellStart"/>
      <w:r w:rsidR="007A4C58" w:rsidRPr="007A4C58">
        <w:rPr>
          <w:rFonts w:ascii="Arial" w:hAnsi="Arial"/>
          <w:sz w:val="24"/>
          <w:lang w:val="en-US" w:eastAsia="ko-KR"/>
        </w:rPr>
        <w:t>NR_IIOT_URLLC_enh</w:t>
      </w:r>
      <w:proofErr w:type="spellEnd"/>
      <w:r w:rsidR="00A601D1" w:rsidRPr="00A601D1">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A601D1" w:rsidRPr="00A601D1">
        <w:rPr>
          <w:rFonts w:ascii="Arial" w:hAnsi="Arial"/>
          <w:sz w:val="24"/>
          <w:lang w:val="en-US"/>
        </w:rPr>
        <w:t>Discussion on support of time synchronization</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B141C" w:rsidRDefault="00A601D1">
      <w:pPr>
        <w:rPr>
          <w:lang w:val="en-US" w:eastAsia="ko-KR"/>
        </w:rPr>
      </w:pPr>
      <w:r w:rsidRPr="00A601D1">
        <w:rPr>
          <w:lang w:val="en-US" w:eastAsia="ko-KR"/>
        </w:rPr>
        <w:t>This document discusses about support of time synchronization which is an objective of [</w:t>
      </w:r>
      <w:r>
        <w:rPr>
          <w:lang w:val="en-US" w:eastAsia="ko-KR"/>
        </w:rPr>
        <w:t>1</w:t>
      </w:r>
      <w:r w:rsidRPr="00A601D1">
        <w:rPr>
          <w:lang w:val="en-US" w:eastAsia="ko-KR"/>
        </w:rPr>
        <w:t>].</w:t>
      </w:r>
    </w:p>
    <w:tbl>
      <w:tblPr>
        <w:tblStyle w:val="ab"/>
        <w:tblW w:w="0" w:type="auto"/>
        <w:tblLook w:val="04A0" w:firstRow="1" w:lastRow="0" w:firstColumn="1" w:lastColumn="0" w:noHBand="0" w:noVBand="1"/>
      </w:tblPr>
      <w:tblGrid>
        <w:gridCol w:w="9631"/>
      </w:tblGrid>
      <w:tr w:rsidR="00BC12A8" w:rsidTr="00BC12A8">
        <w:tc>
          <w:tcPr>
            <w:tcW w:w="9631" w:type="dxa"/>
          </w:tcPr>
          <w:p w:rsidR="00BC12A8" w:rsidRDefault="00BC12A8">
            <w:pPr>
              <w:rPr>
                <w:lang w:val="en-US" w:eastAsia="ko-KR"/>
              </w:rPr>
            </w:pPr>
          </w:p>
          <w:p w:rsidR="00890F3A" w:rsidRDefault="00890F3A" w:rsidP="00A601D1">
            <w:pPr>
              <w:overflowPunct w:val="0"/>
              <w:autoSpaceDE w:val="0"/>
              <w:autoSpaceDN w:val="0"/>
              <w:spacing w:after="120"/>
              <w:rPr>
                <w:color w:val="000000"/>
                <w:lang w:val="en-US" w:eastAsia="zh-CN"/>
              </w:rPr>
            </w:pPr>
            <w:r>
              <w:rPr>
                <w:color w:val="000000"/>
              </w:rPr>
              <w:t>…</w:t>
            </w:r>
          </w:p>
          <w:p w:rsidR="00A601D1" w:rsidRDefault="00A601D1" w:rsidP="00A601D1">
            <w:pPr>
              <w:numPr>
                <w:ilvl w:val="0"/>
                <w:numId w:val="9"/>
              </w:numPr>
              <w:overflowPunct w:val="0"/>
              <w:autoSpaceDE w:val="0"/>
              <w:autoSpaceDN w:val="0"/>
              <w:adjustRightInd w:val="0"/>
              <w:spacing w:after="0" w:line="240" w:lineRule="auto"/>
              <w:textAlignment w:val="baseline"/>
              <w:rPr>
                <w:bCs/>
              </w:rPr>
            </w:pPr>
            <w:r>
              <w:rPr>
                <w:bCs/>
              </w:rPr>
              <w:t>Enhancements for support of time synchronization:</w:t>
            </w:r>
          </w:p>
          <w:p w:rsidR="00A601D1" w:rsidRDefault="00A601D1" w:rsidP="00A601D1">
            <w:pPr>
              <w:numPr>
                <w:ilvl w:val="0"/>
                <w:numId w:val="10"/>
              </w:numPr>
              <w:overflowPunct w:val="0"/>
              <w:autoSpaceDE w:val="0"/>
              <w:autoSpaceDN w:val="0"/>
              <w:adjustRightInd w:val="0"/>
              <w:spacing w:after="0" w:line="240" w:lineRule="auto"/>
              <w:textAlignment w:val="baseline"/>
              <w:rPr>
                <w:bCs/>
              </w:rPr>
            </w:pPr>
            <w:r>
              <w:rPr>
                <w:lang w:val="en-US"/>
              </w:rPr>
              <w:t>RAN impacts of SA2 work on uplink time synchronization for TSN, if any.</w:t>
            </w:r>
            <w:r>
              <w:rPr>
                <w:bCs/>
              </w:rPr>
              <w:t xml:space="preserve"> [RAN2]</w:t>
            </w:r>
          </w:p>
          <w:p w:rsidR="00A601D1" w:rsidRDefault="00A601D1" w:rsidP="00A601D1">
            <w:pPr>
              <w:numPr>
                <w:ilvl w:val="0"/>
                <w:numId w:val="10"/>
              </w:numPr>
              <w:overflowPunct w:val="0"/>
              <w:autoSpaceDE w:val="0"/>
              <w:autoSpaceDN w:val="0"/>
              <w:adjustRightInd w:val="0"/>
              <w:spacing w:line="240" w:lineRule="auto"/>
              <w:ind w:left="1434" w:hanging="357"/>
              <w:textAlignment w:val="baseline"/>
              <w:rPr>
                <w:bCs/>
              </w:rPr>
            </w:pPr>
            <w:r w:rsidRPr="00521C3D">
              <w:rPr>
                <w:bCs/>
              </w:rPr>
              <w:t>Propagation delay compensation enhancements</w:t>
            </w:r>
            <w:r>
              <w:rPr>
                <w:bCs/>
              </w:rPr>
              <w:t xml:space="preserve"> (including mobility issues, if any). [RAN2, RAN1, RAN3, RAN4]</w:t>
            </w:r>
          </w:p>
          <w:p w:rsidR="00BC12A8" w:rsidRPr="00A601D1" w:rsidRDefault="00890F3A" w:rsidP="00A601D1">
            <w:pPr>
              <w:overflowPunct w:val="0"/>
              <w:autoSpaceDE w:val="0"/>
              <w:autoSpaceDN w:val="0"/>
              <w:adjustRightInd w:val="0"/>
              <w:textAlignment w:val="baseline"/>
              <w:rPr>
                <w:rFonts w:eastAsia="SimSun"/>
                <w:color w:val="000000"/>
                <w:lang w:val="en-US" w:eastAsia="zh-CN"/>
              </w:rPr>
            </w:pPr>
            <w:r>
              <w:rPr>
                <w:color w:val="000000"/>
                <w:lang w:eastAsia="zh-CN"/>
              </w:rPr>
              <w:t>…</w:t>
            </w:r>
          </w:p>
        </w:tc>
      </w:tr>
    </w:tbl>
    <w:p w:rsidR="009B141C" w:rsidRDefault="009B141C">
      <w:pPr>
        <w:rPr>
          <w:lang w:val="en-US" w:eastAsia="ko-KR"/>
        </w:rPr>
      </w:pPr>
    </w:p>
    <w:p w:rsidR="00A601D1" w:rsidRDefault="00A601D1">
      <w:pPr>
        <w:rPr>
          <w:lang w:val="en-US" w:eastAsia="ko-KR"/>
        </w:rPr>
      </w:pPr>
      <w:r w:rsidRPr="00A601D1">
        <w:rPr>
          <w:lang w:val="en-US" w:eastAsia="ko-KR"/>
        </w:rPr>
        <w:t>Previously, it was agreed that “in Rel-16, propagation delay compensation may be done by UE implementation” at RAN2#109e ([AT109e</w:t>
      </w:r>
      <w:proofErr w:type="gramStart"/>
      <w:r w:rsidRPr="00A601D1">
        <w:rPr>
          <w:lang w:val="en-US" w:eastAsia="ko-KR"/>
        </w:rPr>
        <w:t>][</w:t>
      </w:r>
      <w:proofErr w:type="gramEnd"/>
      <w:r w:rsidRPr="00A601D1">
        <w:rPr>
          <w:lang w:val="en-US" w:eastAsia="ko-KR"/>
        </w:rPr>
        <w:t>032][IIOT]), and it was pointed out that synchronization inaccuracy is simply doubled when sync mater functionality is placed in a UE [</w:t>
      </w:r>
      <w:r>
        <w:rPr>
          <w:lang w:val="en-US" w:eastAsia="ko-KR"/>
        </w:rPr>
        <w:t>2</w:t>
      </w:r>
      <w:r w:rsidRPr="00A601D1">
        <w:rPr>
          <w:lang w:val="en-US" w:eastAsia="ko-KR"/>
        </w:rPr>
        <w:t>].</w:t>
      </w:r>
    </w:p>
    <w:p w:rsidR="00A601D1" w:rsidRDefault="00A601D1">
      <w:pPr>
        <w:rPr>
          <w:lang w:val="en-US" w:eastAsia="ko-KR"/>
        </w:rPr>
      </w:pPr>
    </w:p>
    <w:p w:rsidR="009B141C" w:rsidRDefault="00C754A1">
      <w:pPr>
        <w:pStyle w:val="1"/>
        <w:rPr>
          <w:lang w:val="en-US"/>
        </w:rPr>
      </w:pPr>
      <w:r>
        <w:rPr>
          <w:lang w:val="en-US"/>
        </w:rPr>
        <w:t>2.</w:t>
      </w:r>
      <w:r>
        <w:rPr>
          <w:lang w:val="en-US"/>
        </w:rPr>
        <w:tab/>
        <w:t>Discussion</w:t>
      </w:r>
    </w:p>
    <w:p w:rsidR="0009280A" w:rsidRDefault="0009280A" w:rsidP="00BC6A67">
      <w:pPr>
        <w:rPr>
          <w:lang w:val="en-US" w:eastAsia="ko-KR"/>
        </w:rPr>
      </w:pPr>
      <w:r w:rsidRPr="0009280A">
        <w:rPr>
          <w:lang w:val="en-US" w:eastAsia="ko-KR"/>
        </w:rPr>
        <w:t>Based on the prev</w:t>
      </w:r>
      <w:r>
        <w:rPr>
          <w:lang w:val="en-US" w:eastAsia="ko-KR"/>
        </w:rPr>
        <w:t>ious analysis [3</w:t>
      </w:r>
      <w:r w:rsidRPr="0009280A">
        <w:rPr>
          <w:lang w:val="en-US" w:eastAsia="ko-KR"/>
        </w:rPr>
        <w:t>], the overall synchronization accuracy error between a clock source and UE clock consists of air interface accuracy, network interface accuracy and granularity of time reference information. In the Rel-16 RRC specification the granularity of a time refere</w:t>
      </w:r>
      <w:r>
        <w:rPr>
          <w:lang w:val="en-US" w:eastAsia="ko-KR"/>
        </w:rPr>
        <w:t>nce is with 10ns [4</w:t>
      </w:r>
      <w:r w:rsidRPr="0009280A">
        <w:rPr>
          <w:lang w:val="en-US" w:eastAsia="ko-KR"/>
        </w:rPr>
        <w:t xml:space="preserve">]. </w:t>
      </w:r>
      <w:r w:rsidR="00B01DEC" w:rsidRPr="0009280A">
        <w:rPr>
          <w:lang w:val="en-US" w:eastAsia="ko-KR"/>
        </w:rPr>
        <w:t>Therefore, the overall synchronization accuracy error would be equal to 645ns (i.e. 540ns (air interface accuracy) + 100ns (network interface accuracy) + 5 ns (granularity/2)</w:t>
      </w:r>
      <w:r w:rsidR="00B01DEC">
        <w:rPr>
          <w:lang w:val="en-US" w:eastAsia="ko-KR"/>
        </w:rPr>
        <w:t xml:space="preserve"> [3</w:t>
      </w:r>
      <w:proofErr w:type="gramStart"/>
      <w:r w:rsidR="00B01DEC">
        <w:rPr>
          <w:lang w:val="en-US" w:eastAsia="ko-KR"/>
        </w:rPr>
        <w:t>][</w:t>
      </w:r>
      <w:proofErr w:type="gramEnd"/>
      <w:r w:rsidR="00B01DEC">
        <w:rPr>
          <w:lang w:val="en-US" w:eastAsia="ko-KR"/>
        </w:rPr>
        <w:t>4]</w:t>
      </w:r>
      <w:r w:rsidR="00B01DEC" w:rsidRPr="0009280A">
        <w:rPr>
          <w:lang w:val="en-US" w:eastAsia="ko-KR"/>
        </w:rPr>
        <w:t>. It meets the synchronizatio</w:t>
      </w:r>
      <w:r w:rsidR="00B01DEC">
        <w:rPr>
          <w:lang w:val="en-US" w:eastAsia="ko-KR"/>
        </w:rPr>
        <w:t>n accuracy requirement [5</w:t>
      </w:r>
      <w:r w:rsidR="00B01DEC" w:rsidRPr="0009280A">
        <w:rPr>
          <w:lang w:val="en-US" w:eastAsia="ko-KR"/>
        </w:rPr>
        <w:t>]</w:t>
      </w:r>
      <w:r w:rsidR="00B01DEC">
        <w:rPr>
          <w:lang w:val="en-US" w:eastAsia="ko-KR"/>
        </w:rPr>
        <w:t>.</w:t>
      </w:r>
    </w:p>
    <w:p w:rsidR="00B01DEC" w:rsidRDefault="00B01DEC" w:rsidP="00B01DEC">
      <w:pPr>
        <w:rPr>
          <w:lang w:val="en-US" w:eastAsia="ko-KR"/>
        </w:rPr>
      </w:pPr>
      <w:r w:rsidRPr="00B01DEC">
        <w:rPr>
          <w:b/>
          <w:lang w:val="en-US" w:eastAsia="ko-KR"/>
        </w:rPr>
        <w:t xml:space="preserve">Observation 1. Synchronization accuracy error would be equal to 645ns to which air interface accuracy, network interface accuracy and 10ns granularity of </w:t>
      </w:r>
      <w:proofErr w:type="spellStart"/>
      <w:r w:rsidRPr="00B01DEC">
        <w:rPr>
          <w:b/>
          <w:i/>
          <w:lang w:val="en-US" w:eastAsia="ko-KR"/>
        </w:rPr>
        <w:t>RerferenceTimeInfo</w:t>
      </w:r>
      <w:proofErr w:type="spellEnd"/>
      <w:r w:rsidRPr="00B01DEC">
        <w:rPr>
          <w:b/>
          <w:lang w:val="en-US" w:eastAsia="ko-KR"/>
        </w:rPr>
        <w:t xml:space="preserve"> IE contribute 540ns, 100ns, and 5ns, respectively.</w:t>
      </w:r>
    </w:p>
    <w:p w:rsidR="00B01DEC" w:rsidRPr="00B01DEC" w:rsidRDefault="00B01DEC" w:rsidP="00BC6A67">
      <w:pPr>
        <w:rPr>
          <w:lang w:val="en-US" w:eastAsia="ko-KR"/>
        </w:rPr>
      </w:pPr>
    </w:p>
    <w:p w:rsidR="0009280A" w:rsidRDefault="00B01DEC" w:rsidP="00BC6A67">
      <w:pPr>
        <w:rPr>
          <w:lang w:val="en-US" w:eastAsia="ko-KR"/>
        </w:rPr>
      </w:pPr>
      <w:r w:rsidRPr="00B01DEC">
        <w:rPr>
          <w:lang w:val="en-US" w:eastAsia="ko-KR"/>
        </w:rPr>
        <w:t>The synchronization requirement from TS22.104 is referred</w:t>
      </w:r>
      <w:r>
        <w:rPr>
          <w:lang w:val="en-US" w:eastAsia="ko-KR"/>
        </w:rPr>
        <w:t xml:space="preserve"> [6]</w:t>
      </w:r>
      <w:r w:rsidRPr="00B01DEC">
        <w:rPr>
          <w:lang w:val="en-US" w:eastAsia="ko-KR"/>
        </w:rPr>
        <w:t>. The 5GS synchronicity budget requirement becomes tighter from 1us to 900ns even for larger service area where propagation delay needs to be considered. The above calculation is still applicable and the synchronization requirements is met except that sync master functionality is placed in a UE.</w:t>
      </w:r>
    </w:p>
    <w:p w:rsidR="00E61061" w:rsidRDefault="00E61061" w:rsidP="00E61061">
      <w:pPr>
        <w:rPr>
          <w:lang w:val="en-US" w:eastAsia="ko-KR"/>
        </w:rPr>
      </w:pPr>
      <w:r w:rsidRPr="00E61061">
        <w:rPr>
          <w:b/>
          <w:lang w:val="en-US" w:eastAsia="ko-KR"/>
        </w:rPr>
        <w:t xml:space="preserve">Observation 2. The 5GS synchronicity budget requirement is 900ns. Rel-16 NR still meets the requirement except </w:t>
      </w:r>
      <w:r>
        <w:rPr>
          <w:b/>
          <w:lang w:val="en-US" w:eastAsia="ko-KR"/>
        </w:rPr>
        <w:t xml:space="preserve">the case </w:t>
      </w:r>
      <w:r w:rsidRPr="00E61061">
        <w:rPr>
          <w:b/>
          <w:lang w:val="en-US" w:eastAsia="ko-KR"/>
        </w:rPr>
        <w:t>that sync master functionality is placed in a UE.</w:t>
      </w:r>
    </w:p>
    <w:p w:rsidR="00E61061" w:rsidRDefault="00E61061" w:rsidP="00BC6A67">
      <w:pPr>
        <w:rPr>
          <w:lang w:val="en-US" w:eastAsia="ko-KR"/>
        </w:rPr>
      </w:pPr>
    </w:p>
    <w:p w:rsidR="0009280A" w:rsidRPr="00BC6A67" w:rsidRDefault="00B01DEC" w:rsidP="00BC6A67">
      <w:pPr>
        <w:rPr>
          <w:lang w:val="en-US" w:eastAsia="ko-KR"/>
        </w:rPr>
      </w:pPr>
      <w:r>
        <w:rPr>
          <w:lang w:val="en-US" w:eastAsia="ko-KR"/>
        </w:rPr>
        <w:t>[</w:t>
      </w:r>
      <w:r w:rsidRPr="00B01DEC">
        <w:rPr>
          <w:lang w:val="en-US" w:eastAsia="ko-KR"/>
        </w:rPr>
        <w:t>Table 5.6.2-1: Clock synchronization service performance requirements for 5G System</w:t>
      </w:r>
      <w:r>
        <w:rPr>
          <w:lang w:val="en-US" w:eastAsia="ko-KR"/>
        </w:rPr>
        <w:t>, TS22.104 v17.3.0</w:t>
      </w:r>
      <w:r w:rsidRPr="00B01DEC">
        <w:rPr>
          <w:lang w:val="en-US" w:eastAsia="ko-KR"/>
        </w:rPr>
        <w:t>]</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10"/>
        <w:gridCol w:w="2372"/>
      </w:tblGrid>
      <w:tr w:rsidR="00B01DEC" w:rsidRPr="00B01DEC" w:rsidTr="000F6B41">
        <w:tc>
          <w:tcPr>
            <w:tcW w:w="896" w:type="pct"/>
            <w:shd w:val="clear" w:color="auto" w:fill="auto"/>
          </w:tcPr>
          <w:p w:rsidR="00B01DEC" w:rsidRPr="00B01DEC" w:rsidRDefault="00B01DEC" w:rsidP="00B01DEC">
            <w:pPr>
              <w:keepNext/>
              <w:keepLines/>
              <w:spacing w:after="0" w:line="240" w:lineRule="auto"/>
              <w:jc w:val="center"/>
              <w:rPr>
                <w:rFonts w:ascii="Arial" w:eastAsia="맑은 고딕" w:hAnsi="Arial"/>
                <w:b/>
                <w:sz w:val="18"/>
                <w:lang w:val="x-none"/>
              </w:rPr>
            </w:pPr>
            <w:r w:rsidRPr="00B01DEC">
              <w:rPr>
                <w:rFonts w:ascii="Arial" w:eastAsia="맑은 고딕" w:hAnsi="Arial"/>
                <w:b/>
                <w:sz w:val="18"/>
                <w:lang w:val="x-none"/>
              </w:rPr>
              <w:lastRenderedPageBreak/>
              <w:t xml:space="preserve">User-specific clock synchronicity accuracy level </w:t>
            </w:r>
          </w:p>
        </w:tc>
        <w:tc>
          <w:tcPr>
            <w:tcW w:w="1239" w:type="pct"/>
            <w:shd w:val="clear" w:color="auto" w:fill="auto"/>
          </w:tcPr>
          <w:p w:rsidR="00B01DEC" w:rsidRPr="00B01DEC" w:rsidRDefault="00B01DEC" w:rsidP="00B01DEC">
            <w:pPr>
              <w:keepNext/>
              <w:keepLines/>
              <w:spacing w:after="0" w:line="240" w:lineRule="auto"/>
              <w:jc w:val="center"/>
              <w:rPr>
                <w:rFonts w:ascii="Arial" w:eastAsia="맑은 고딕" w:hAnsi="Arial"/>
                <w:b/>
                <w:sz w:val="18"/>
                <w:lang w:val="x-none"/>
              </w:rPr>
            </w:pPr>
            <w:r w:rsidRPr="00B01DEC">
              <w:rPr>
                <w:rFonts w:ascii="Arial" w:eastAsia="맑은 고딕" w:hAnsi="Arial"/>
                <w:b/>
                <w:sz w:val="18"/>
                <w:lang w:val="x-none"/>
              </w:rPr>
              <w:t xml:space="preserve">Number of devices in one Communication group for clock </w:t>
            </w:r>
            <w:proofErr w:type="spellStart"/>
            <w:r w:rsidRPr="00B01DEC">
              <w:rPr>
                <w:rFonts w:ascii="Arial" w:eastAsia="맑은 고딕" w:hAnsi="Arial"/>
                <w:b/>
                <w:sz w:val="18"/>
                <w:lang w:val="x-none"/>
              </w:rPr>
              <w:t>synchronisation</w:t>
            </w:r>
            <w:proofErr w:type="spellEnd"/>
          </w:p>
        </w:tc>
        <w:tc>
          <w:tcPr>
            <w:tcW w:w="886" w:type="pct"/>
            <w:shd w:val="clear" w:color="auto" w:fill="auto"/>
          </w:tcPr>
          <w:p w:rsidR="00B01DEC" w:rsidRPr="00B01DEC" w:rsidRDefault="00B01DEC" w:rsidP="00B01DEC">
            <w:pPr>
              <w:keepNext/>
              <w:keepLines/>
              <w:spacing w:after="0" w:line="240" w:lineRule="auto"/>
              <w:jc w:val="center"/>
              <w:rPr>
                <w:rFonts w:ascii="Arial" w:eastAsia="맑은 고딕" w:hAnsi="Arial"/>
                <w:b/>
                <w:sz w:val="18"/>
                <w:lang w:val="x-none"/>
              </w:rPr>
            </w:pPr>
            <w:r w:rsidRPr="00B01DEC">
              <w:rPr>
                <w:rFonts w:ascii="Arial" w:eastAsia="맑은 고딕" w:hAnsi="Arial"/>
                <w:b/>
                <w:sz w:val="18"/>
                <w:lang w:val="x-none"/>
              </w:rPr>
              <w:t xml:space="preserve">5GS synchronicity budget requirement </w:t>
            </w:r>
          </w:p>
          <w:p w:rsidR="00B01DEC" w:rsidRPr="00B01DEC" w:rsidRDefault="00B01DEC" w:rsidP="00B01DEC">
            <w:pPr>
              <w:keepNext/>
              <w:keepLines/>
              <w:spacing w:after="0" w:line="240" w:lineRule="auto"/>
              <w:jc w:val="center"/>
              <w:rPr>
                <w:rFonts w:ascii="Arial" w:eastAsia="맑은 고딕" w:hAnsi="Arial"/>
                <w:b/>
                <w:sz w:val="18"/>
                <w:lang w:val="x-none"/>
              </w:rPr>
            </w:pPr>
            <w:r w:rsidRPr="00B01DEC">
              <w:rPr>
                <w:rFonts w:ascii="Arial" w:eastAsia="맑은 고딕" w:hAnsi="Arial"/>
                <w:b/>
                <w:sz w:val="18"/>
                <w:lang w:val="x-none"/>
              </w:rPr>
              <w:t>(note)</w:t>
            </w:r>
          </w:p>
        </w:tc>
        <w:tc>
          <w:tcPr>
            <w:tcW w:w="829" w:type="pct"/>
          </w:tcPr>
          <w:p w:rsidR="00B01DEC" w:rsidRPr="00B01DEC" w:rsidRDefault="00B01DEC" w:rsidP="00B01DEC">
            <w:pPr>
              <w:keepNext/>
              <w:keepLines/>
              <w:spacing w:after="0" w:line="240" w:lineRule="auto"/>
              <w:jc w:val="center"/>
              <w:rPr>
                <w:rFonts w:ascii="Arial" w:eastAsia="맑은 고딕" w:hAnsi="Arial"/>
                <w:b/>
                <w:sz w:val="18"/>
                <w:lang w:val="x-none"/>
              </w:rPr>
            </w:pPr>
            <w:r w:rsidRPr="00B01DEC">
              <w:rPr>
                <w:rFonts w:ascii="Arial" w:eastAsia="맑은 고딕" w:hAnsi="Arial"/>
                <w:b/>
                <w:sz w:val="18"/>
                <w:lang w:val="x-none"/>
              </w:rPr>
              <w:t xml:space="preserve">Service area </w:t>
            </w:r>
          </w:p>
        </w:tc>
        <w:tc>
          <w:tcPr>
            <w:tcW w:w="1150" w:type="pct"/>
            <w:shd w:val="clear" w:color="auto" w:fill="auto"/>
          </w:tcPr>
          <w:p w:rsidR="00B01DEC" w:rsidRPr="00B01DEC" w:rsidRDefault="00B01DEC" w:rsidP="00B01DEC">
            <w:pPr>
              <w:keepNext/>
              <w:keepLines/>
              <w:spacing w:after="0" w:line="240" w:lineRule="auto"/>
              <w:jc w:val="center"/>
              <w:rPr>
                <w:rFonts w:ascii="Arial" w:eastAsia="맑은 고딕" w:hAnsi="Arial"/>
                <w:b/>
                <w:sz w:val="18"/>
                <w:lang w:val="x-none"/>
              </w:rPr>
            </w:pPr>
            <w:r w:rsidRPr="00B01DEC">
              <w:rPr>
                <w:rFonts w:ascii="Arial" w:eastAsia="맑은 고딕" w:hAnsi="Arial"/>
                <w:b/>
                <w:sz w:val="18"/>
                <w:lang w:val="x-none"/>
              </w:rPr>
              <w:t>Scenario</w:t>
            </w:r>
          </w:p>
        </w:tc>
      </w:tr>
      <w:tr w:rsidR="00B01DEC" w:rsidRPr="00B01DEC" w:rsidTr="000F6B41">
        <w:tc>
          <w:tcPr>
            <w:tcW w:w="896"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1</w:t>
            </w:r>
          </w:p>
        </w:tc>
        <w:tc>
          <w:tcPr>
            <w:tcW w:w="1239"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Up to 300 UEs</w:t>
            </w:r>
          </w:p>
        </w:tc>
        <w:tc>
          <w:tcPr>
            <w:tcW w:w="886"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cs="Arial"/>
                <w:sz w:val="18"/>
                <w:szCs w:val="24"/>
              </w:rPr>
              <w:t>≤</w:t>
            </w:r>
            <w:r w:rsidRPr="00B01DEC">
              <w:rPr>
                <w:rFonts w:ascii="Arial" w:eastAsia="맑은 고딕" w:hAnsi="Arial"/>
                <w:sz w:val="18"/>
                <w:szCs w:val="24"/>
              </w:rPr>
              <w:t xml:space="preserve">900 ns </w:t>
            </w:r>
          </w:p>
        </w:tc>
        <w:tc>
          <w:tcPr>
            <w:tcW w:w="829" w:type="pct"/>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 100 m x 100 m</w:t>
            </w:r>
          </w:p>
        </w:tc>
        <w:tc>
          <w:tcPr>
            <w:tcW w:w="1150" w:type="pct"/>
            <w:shd w:val="clear" w:color="auto" w:fill="auto"/>
          </w:tcPr>
          <w:p w:rsidR="00B01DEC" w:rsidRPr="00B01DEC" w:rsidRDefault="00B01DEC" w:rsidP="00B01DEC">
            <w:pPr>
              <w:keepNext/>
              <w:keepLines/>
              <w:numPr>
                <w:ilvl w:val="0"/>
                <w:numId w:val="11"/>
              </w:numPr>
              <w:overflowPunct w:val="0"/>
              <w:autoSpaceDE w:val="0"/>
              <w:autoSpaceDN w:val="0"/>
              <w:adjustRightInd w:val="0"/>
              <w:spacing w:after="0" w:line="240" w:lineRule="auto"/>
              <w:jc w:val="both"/>
              <w:textAlignment w:val="baseline"/>
              <w:rPr>
                <w:rFonts w:ascii="Arial" w:eastAsia="SimSun" w:hAnsi="Arial"/>
                <w:sz w:val="18"/>
                <w:lang w:eastAsia="zh-CN"/>
              </w:rPr>
            </w:pPr>
            <w:r w:rsidRPr="00B01DEC">
              <w:rPr>
                <w:rFonts w:ascii="Arial" w:eastAsia="SimSun" w:hAnsi="Arial"/>
                <w:sz w:val="18"/>
                <w:lang w:eastAsia="zh-CN"/>
              </w:rPr>
              <w:t>Motion control</w:t>
            </w:r>
          </w:p>
          <w:p w:rsidR="00B01DEC" w:rsidRPr="00B01DEC" w:rsidRDefault="00B01DEC" w:rsidP="00B01DEC">
            <w:pPr>
              <w:keepNext/>
              <w:keepLines/>
              <w:numPr>
                <w:ilvl w:val="0"/>
                <w:numId w:val="11"/>
              </w:numPr>
              <w:overflowPunct w:val="0"/>
              <w:autoSpaceDE w:val="0"/>
              <w:autoSpaceDN w:val="0"/>
              <w:adjustRightInd w:val="0"/>
              <w:spacing w:after="0" w:line="240" w:lineRule="auto"/>
              <w:jc w:val="both"/>
              <w:textAlignment w:val="baseline"/>
              <w:rPr>
                <w:rFonts w:ascii="Arial" w:eastAsia="맑은 고딕" w:hAnsi="Arial"/>
                <w:i/>
                <w:iCs/>
                <w:sz w:val="18"/>
              </w:rPr>
            </w:pPr>
            <w:r w:rsidRPr="00B01DEC">
              <w:rPr>
                <w:rFonts w:ascii="Arial" w:eastAsia="SimSun" w:hAnsi="Arial"/>
                <w:sz w:val="18"/>
                <w:lang w:eastAsia="zh-CN"/>
              </w:rPr>
              <w:t>Control-to-control communication for industrial controller</w:t>
            </w:r>
          </w:p>
        </w:tc>
      </w:tr>
      <w:tr w:rsidR="00B01DEC" w:rsidRPr="00B01DEC" w:rsidTr="000F6B41">
        <w:tc>
          <w:tcPr>
            <w:tcW w:w="896"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2</w:t>
            </w:r>
          </w:p>
        </w:tc>
        <w:tc>
          <w:tcPr>
            <w:tcW w:w="1239"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Up to 300 UEs</w:t>
            </w:r>
          </w:p>
        </w:tc>
        <w:tc>
          <w:tcPr>
            <w:tcW w:w="886" w:type="pct"/>
            <w:shd w:val="clear" w:color="auto" w:fill="auto"/>
          </w:tcPr>
          <w:p w:rsidR="00B01DEC" w:rsidRPr="00B01DEC" w:rsidRDefault="00B01DEC" w:rsidP="00B01DEC">
            <w:pPr>
              <w:keepNext/>
              <w:keepLines/>
              <w:tabs>
                <w:tab w:val="left" w:pos="1018"/>
              </w:tabs>
              <w:spacing w:after="0" w:line="240" w:lineRule="auto"/>
              <w:rPr>
                <w:rFonts w:ascii="Arial" w:eastAsia="맑은 고딕" w:hAnsi="Arial"/>
                <w:sz w:val="18"/>
                <w:szCs w:val="24"/>
              </w:rPr>
            </w:pPr>
            <w:r w:rsidRPr="00B01DEC">
              <w:rPr>
                <w:rFonts w:ascii="Arial" w:eastAsia="맑은 고딕" w:hAnsi="Arial" w:cs="Arial"/>
                <w:sz w:val="18"/>
                <w:szCs w:val="24"/>
              </w:rPr>
              <w:t>≤</w:t>
            </w:r>
            <w:r w:rsidRPr="00B01DEC">
              <w:rPr>
                <w:rFonts w:ascii="Arial" w:eastAsia="맑은 고딕" w:hAnsi="Arial"/>
                <w:sz w:val="18"/>
                <w:szCs w:val="24"/>
              </w:rPr>
              <w:t xml:space="preserve">900 ns </w:t>
            </w:r>
            <w:r w:rsidRPr="00B01DEC">
              <w:rPr>
                <w:rFonts w:ascii="Arial" w:eastAsia="맑은 고딕" w:hAnsi="Arial"/>
                <w:sz w:val="18"/>
                <w:szCs w:val="24"/>
              </w:rPr>
              <w:tab/>
            </w:r>
          </w:p>
        </w:tc>
        <w:tc>
          <w:tcPr>
            <w:tcW w:w="829" w:type="pct"/>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 1000 m x 100 m</w:t>
            </w:r>
          </w:p>
        </w:tc>
        <w:tc>
          <w:tcPr>
            <w:tcW w:w="1150" w:type="pct"/>
            <w:shd w:val="clear" w:color="auto" w:fill="auto"/>
          </w:tcPr>
          <w:p w:rsidR="00B01DEC" w:rsidRPr="00B01DEC" w:rsidRDefault="00B01DEC" w:rsidP="00B01DEC">
            <w:pPr>
              <w:keepNext/>
              <w:keepLines/>
              <w:numPr>
                <w:ilvl w:val="0"/>
                <w:numId w:val="11"/>
              </w:numPr>
              <w:overflowPunct w:val="0"/>
              <w:autoSpaceDE w:val="0"/>
              <w:autoSpaceDN w:val="0"/>
              <w:adjustRightInd w:val="0"/>
              <w:spacing w:after="0" w:line="240" w:lineRule="auto"/>
              <w:jc w:val="both"/>
              <w:textAlignment w:val="baseline"/>
              <w:rPr>
                <w:rFonts w:ascii="Arial" w:eastAsia="SimSun" w:hAnsi="Arial"/>
                <w:sz w:val="18"/>
                <w:lang w:eastAsia="zh-CN"/>
              </w:rPr>
            </w:pPr>
            <w:r w:rsidRPr="00B01DEC">
              <w:rPr>
                <w:rFonts w:ascii="Arial" w:eastAsia="SimSun" w:hAnsi="Arial"/>
                <w:sz w:val="18"/>
                <w:lang w:eastAsia="zh-CN"/>
              </w:rPr>
              <w:t>Control-to-control communication for industrial controller</w:t>
            </w:r>
          </w:p>
        </w:tc>
      </w:tr>
      <w:tr w:rsidR="00B01DEC" w:rsidRPr="00B01DEC" w:rsidTr="000F6B41">
        <w:tc>
          <w:tcPr>
            <w:tcW w:w="896"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3</w:t>
            </w:r>
          </w:p>
        </w:tc>
        <w:tc>
          <w:tcPr>
            <w:tcW w:w="1239"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Up to 10 UEs</w:t>
            </w:r>
          </w:p>
        </w:tc>
        <w:tc>
          <w:tcPr>
            <w:tcW w:w="886"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&lt; 10 µs</w:t>
            </w:r>
          </w:p>
        </w:tc>
        <w:tc>
          <w:tcPr>
            <w:tcW w:w="829" w:type="pct"/>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MS Mincho" w:hAnsi="Arial"/>
                <w:sz w:val="18"/>
                <w:szCs w:val="24"/>
              </w:rPr>
              <w:t>≤ 2500 m</w:t>
            </w:r>
            <w:r w:rsidRPr="00B01DEC">
              <w:rPr>
                <w:rFonts w:ascii="Arial" w:eastAsia="MS Mincho" w:hAnsi="Arial"/>
                <w:sz w:val="18"/>
                <w:szCs w:val="24"/>
                <w:vertAlign w:val="superscript"/>
              </w:rPr>
              <w:t>2</w:t>
            </w:r>
          </w:p>
        </w:tc>
        <w:tc>
          <w:tcPr>
            <w:tcW w:w="1150" w:type="pct"/>
            <w:shd w:val="clear" w:color="auto" w:fill="auto"/>
          </w:tcPr>
          <w:p w:rsidR="00B01DEC" w:rsidRPr="00B01DEC" w:rsidRDefault="00B01DEC" w:rsidP="00B01DEC">
            <w:pPr>
              <w:keepNext/>
              <w:keepLines/>
              <w:numPr>
                <w:ilvl w:val="0"/>
                <w:numId w:val="11"/>
              </w:numPr>
              <w:overflowPunct w:val="0"/>
              <w:autoSpaceDE w:val="0"/>
              <w:autoSpaceDN w:val="0"/>
              <w:adjustRightInd w:val="0"/>
              <w:spacing w:after="0" w:line="240" w:lineRule="auto"/>
              <w:jc w:val="both"/>
              <w:textAlignment w:val="baseline"/>
              <w:rPr>
                <w:rFonts w:ascii="Arial" w:eastAsia="맑은 고딕" w:hAnsi="Arial"/>
                <w:i/>
                <w:iCs/>
                <w:sz w:val="18"/>
              </w:rPr>
            </w:pPr>
            <w:r w:rsidRPr="00B01DEC">
              <w:rPr>
                <w:rFonts w:ascii="Arial" w:eastAsia="MS Mincho" w:hAnsi="Arial"/>
                <w:sz w:val="18"/>
              </w:rPr>
              <w:t>High data rate video streaming</w:t>
            </w:r>
          </w:p>
        </w:tc>
      </w:tr>
      <w:tr w:rsidR="00B01DEC" w:rsidRPr="00B01DEC" w:rsidTr="000F6B41">
        <w:tc>
          <w:tcPr>
            <w:tcW w:w="896"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3a</w:t>
            </w:r>
          </w:p>
        </w:tc>
        <w:tc>
          <w:tcPr>
            <w:tcW w:w="1239"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Up to 100 UEs</w:t>
            </w:r>
          </w:p>
        </w:tc>
        <w:tc>
          <w:tcPr>
            <w:tcW w:w="886" w:type="pct"/>
            <w:shd w:val="clear" w:color="auto" w:fill="auto"/>
          </w:tcPr>
          <w:p w:rsidR="00B01DEC" w:rsidRPr="00B01DEC" w:rsidRDefault="00B01DEC" w:rsidP="00B01DEC">
            <w:pPr>
              <w:keepNext/>
              <w:keepLines/>
              <w:spacing w:after="0" w:line="240" w:lineRule="auto"/>
              <w:rPr>
                <w:rFonts w:ascii="Arial" w:eastAsia="맑은 고딕" w:hAnsi="Arial"/>
                <w:sz w:val="18"/>
                <w:szCs w:val="24"/>
              </w:rPr>
            </w:pPr>
            <w:r w:rsidRPr="00B01DEC">
              <w:rPr>
                <w:rFonts w:ascii="Arial" w:eastAsia="맑은 고딕" w:hAnsi="Arial"/>
                <w:sz w:val="18"/>
                <w:szCs w:val="24"/>
              </w:rPr>
              <w:t>&lt;1 µs</w:t>
            </w:r>
          </w:p>
        </w:tc>
        <w:tc>
          <w:tcPr>
            <w:tcW w:w="829" w:type="pct"/>
          </w:tcPr>
          <w:p w:rsidR="00B01DEC" w:rsidRPr="00B01DEC" w:rsidRDefault="00B01DEC" w:rsidP="00B01DEC">
            <w:pPr>
              <w:keepNext/>
              <w:keepLines/>
              <w:spacing w:after="0" w:line="240" w:lineRule="auto"/>
              <w:rPr>
                <w:rFonts w:ascii="Arial" w:eastAsia="MS Mincho" w:hAnsi="Arial"/>
                <w:sz w:val="18"/>
                <w:szCs w:val="24"/>
              </w:rPr>
            </w:pPr>
            <w:r w:rsidRPr="00B01DEC">
              <w:rPr>
                <w:rFonts w:ascii="Arial" w:eastAsia="MS Mincho" w:hAnsi="Arial"/>
                <w:sz w:val="18"/>
                <w:szCs w:val="24"/>
              </w:rPr>
              <w:t xml:space="preserve">≤10 </w:t>
            </w:r>
            <w:r w:rsidRPr="00B01DEC">
              <w:rPr>
                <w:rFonts w:ascii="Arial" w:eastAsia="Microsoft YaHei" w:hAnsi="Arial" w:cs="Arial"/>
                <w:color w:val="000000"/>
                <w:sz w:val="18"/>
                <w:szCs w:val="18"/>
              </w:rPr>
              <w:t>km</w:t>
            </w:r>
            <w:r w:rsidRPr="00B01DEC">
              <w:rPr>
                <w:rFonts w:ascii="Arial" w:eastAsia="Microsoft YaHei" w:hAnsi="Arial" w:cs="Arial"/>
                <w:color w:val="000000"/>
                <w:sz w:val="18"/>
                <w:szCs w:val="18"/>
                <w:vertAlign w:val="superscript"/>
              </w:rPr>
              <w:t>2</w:t>
            </w:r>
          </w:p>
        </w:tc>
        <w:tc>
          <w:tcPr>
            <w:tcW w:w="1150" w:type="pct"/>
            <w:shd w:val="clear" w:color="auto" w:fill="auto"/>
          </w:tcPr>
          <w:p w:rsidR="00B01DEC" w:rsidRPr="00B01DEC" w:rsidRDefault="00B01DEC" w:rsidP="00B01DEC">
            <w:pPr>
              <w:keepNext/>
              <w:keepLines/>
              <w:numPr>
                <w:ilvl w:val="0"/>
                <w:numId w:val="11"/>
              </w:numPr>
              <w:overflowPunct w:val="0"/>
              <w:autoSpaceDE w:val="0"/>
              <w:autoSpaceDN w:val="0"/>
              <w:adjustRightInd w:val="0"/>
              <w:spacing w:after="0" w:line="240" w:lineRule="auto"/>
              <w:jc w:val="both"/>
              <w:textAlignment w:val="baseline"/>
              <w:rPr>
                <w:rFonts w:ascii="Arial" w:eastAsia="MS Mincho" w:hAnsi="Arial"/>
                <w:sz w:val="18"/>
              </w:rPr>
            </w:pPr>
            <w:proofErr w:type="spellStart"/>
            <w:r w:rsidRPr="00B01DEC">
              <w:rPr>
                <w:rFonts w:ascii="Arial" w:eastAsia="MS Mincho" w:hAnsi="Arial"/>
                <w:sz w:val="18"/>
              </w:rPr>
              <w:t>AVProd</w:t>
            </w:r>
            <w:proofErr w:type="spellEnd"/>
            <w:r w:rsidRPr="00B01DEC">
              <w:rPr>
                <w:rFonts w:ascii="Arial" w:eastAsia="MS Mincho" w:hAnsi="Arial"/>
                <w:sz w:val="18"/>
              </w:rPr>
              <w:t xml:space="preserve"> synchronisation  and packet timing</w:t>
            </w:r>
          </w:p>
        </w:tc>
      </w:tr>
      <w:tr w:rsidR="00B01DEC" w:rsidRPr="00B01DEC" w:rsidTr="000F6B41">
        <w:tc>
          <w:tcPr>
            <w:tcW w:w="896" w:type="pct"/>
            <w:shd w:val="clear" w:color="auto" w:fill="auto"/>
          </w:tcPr>
          <w:p w:rsidR="00B01DEC" w:rsidRPr="00B01DEC" w:rsidRDefault="00B01DEC" w:rsidP="00B01DEC">
            <w:pPr>
              <w:keepNext/>
              <w:keepLines/>
              <w:spacing w:after="0" w:line="240" w:lineRule="auto"/>
              <w:rPr>
                <w:rFonts w:ascii="Arial" w:eastAsia="맑은 고딕" w:hAnsi="Arial" w:cs="Arial"/>
                <w:sz w:val="18"/>
                <w:szCs w:val="18"/>
              </w:rPr>
            </w:pPr>
            <w:r w:rsidRPr="00B01DEC">
              <w:rPr>
                <w:rFonts w:ascii="Arial" w:eastAsia="맑은 고딕" w:hAnsi="Arial" w:cs="Arial"/>
                <w:sz w:val="18"/>
                <w:szCs w:val="18"/>
              </w:rPr>
              <w:t>4</w:t>
            </w:r>
          </w:p>
        </w:tc>
        <w:tc>
          <w:tcPr>
            <w:tcW w:w="1239" w:type="pct"/>
            <w:shd w:val="clear" w:color="auto" w:fill="auto"/>
          </w:tcPr>
          <w:p w:rsidR="00B01DEC" w:rsidRPr="00B01DEC" w:rsidRDefault="00B01DEC" w:rsidP="00B01DEC">
            <w:pPr>
              <w:keepNext/>
              <w:keepLines/>
              <w:spacing w:after="0" w:line="240" w:lineRule="auto"/>
              <w:rPr>
                <w:rFonts w:ascii="Arial" w:eastAsia="맑은 고딕" w:hAnsi="Arial" w:cs="Arial"/>
                <w:sz w:val="18"/>
                <w:szCs w:val="18"/>
              </w:rPr>
            </w:pPr>
            <w:r w:rsidRPr="00B01DEC">
              <w:rPr>
                <w:rFonts w:ascii="Arial" w:eastAsia="맑은 고딕" w:hAnsi="Arial" w:cs="Arial"/>
                <w:sz w:val="18"/>
                <w:szCs w:val="18"/>
              </w:rPr>
              <w:t>Up to 100 UEs</w:t>
            </w:r>
          </w:p>
        </w:tc>
        <w:tc>
          <w:tcPr>
            <w:tcW w:w="886" w:type="pct"/>
            <w:shd w:val="clear" w:color="auto" w:fill="auto"/>
          </w:tcPr>
          <w:p w:rsidR="00B01DEC" w:rsidRPr="00B01DEC" w:rsidRDefault="00B01DEC" w:rsidP="00B01DEC">
            <w:pPr>
              <w:keepNext/>
              <w:keepLines/>
              <w:spacing w:after="0" w:line="240" w:lineRule="auto"/>
              <w:rPr>
                <w:rFonts w:ascii="Arial" w:eastAsia="맑은 고딕" w:hAnsi="Arial" w:cs="Arial"/>
                <w:sz w:val="18"/>
                <w:szCs w:val="18"/>
              </w:rPr>
            </w:pPr>
            <w:r w:rsidRPr="00B01DEC">
              <w:rPr>
                <w:rFonts w:ascii="Arial" w:eastAsia="맑은 고딕" w:hAnsi="Arial" w:cs="Arial"/>
                <w:sz w:val="18"/>
                <w:szCs w:val="18"/>
              </w:rPr>
              <w:t>&lt;1</w:t>
            </w:r>
            <w:r w:rsidRPr="00B01DEC" w:rsidDel="005A46E7">
              <w:rPr>
                <w:rFonts w:ascii="Arial" w:eastAsia="맑은 고딕" w:hAnsi="Arial" w:cs="Arial"/>
                <w:sz w:val="18"/>
                <w:szCs w:val="18"/>
              </w:rPr>
              <w:t xml:space="preserve"> </w:t>
            </w:r>
            <w:r w:rsidRPr="00B01DEC">
              <w:rPr>
                <w:rFonts w:ascii="Arial" w:eastAsia="맑은 고딕" w:hAnsi="Arial" w:cs="Arial"/>
                <w:sz w:val="18"/>
                <w:szCs w:val="18"/>
              </w:rPr>
              <w:t xml:space="preserve"> µs</w:t>
            </w:r>
          </w:p>
        </w:tc>
        <w:tc>
          <w:tcPr>
            <w:tcW w:w="829" w:type="pct"/>
          </w:tcPr>
          <w:p w:rsidR="00B01DEC" w:rsidRPr="00B01DEC" w:rsidRDefault="00B01DEC" w:rsidP="00B01DEC">
            <w:pPr>
              <w:keepNext/>
              <w:keepLines/>
              <w:spacing w:after="0" w:line="240" w:lineRule="auto"/>
              <w:rPr>
                <w:rFonts w:ascii="Arial" w:eastAsia="Microsoft YaHei" w:hAnsi="Arial" w:cs="Arial"/>
                <w:color w:val="000000"/>
                <w:sz w:val="18"/>
                <w:szCs w:val="18"/>
              </w:rPr>
            </w:pPr>
            <w:r w:rsidRPr="00B01DEC">
              <w:rPr>
                <w:rFonts w:ascii="Arial" w:eastAsia="Microsoft YaHei" w:hAnsi="Arial" w:cs="Arial"/>
                <w:color w:val="000000"/>
                <w:sz w:val="18"/>
                <w:szCs w:val="18"/>
              </w:rPr>
              <w:t>&lt; 20 km</w:t>
            </w:r>
            <w:r w:rsidRPr="00B01DEC">
              <w:rPr>
                <w:rFonts w:ascii="Arial" w:eastAsia="Microsoft YaHei" w:hAnsi="Arial" w:cs="Arial"/>
                <w:color w:val="000000"/>
                <w:sz w:val="18"/>
                <w:szCs w:val="18"/>
                <w:vertAlign w:val="superscript"/>
              </w:rPr>
              <w:t>2</w:t>
            </w:r>
          </w:p>
        </w:tc>
        <w:tc>
          <w:tcPr>
            <w:tcW w:w="1150" w:type="pct"/>
            <w:shd w:val="clear" w:color="auto" w:fill="auto"/>
          </w:tcPr>
          <w:p w:rsidR="00B01DEC" w:rsidRPr="00B01DEC" w:rsidRDefault="00B01DEC" w:rsidP="00B01DEC">
            <w:pPr>
              <w:keepNext/>
              <w:numPr>
                <w:ilvl w:val="0"/>
                <w:numId w:val="11"/>
              </w:numPr>
              <w:spacing w:after="0" w:line="240" w:lineRule="auto"/>
              <w:jc w:val="both"/>
              <w:rPr>
                <w:rFonts w:ascii="Arial" w:eastAsia="MS Mincho" w:hAnsi="Arial" w:cs="Arial"/>
                <w:sz w:val="18"/>
                <w:szCs w:val="18"/>
              </w:rPr>
            </w:pPr>
            <w:r w:rsidRPr="00B01DEC">
              <w:rPr>
                <w:rFonts w:ascii="Arial" w:eastAsia="맑은 고딕" w:hAnsi="Arial" w:cs="Arial"/>
                <w:sz w:val="18"/>
                <w:szCs w:val="18"/>
              </w:rPr>
              <w:t>Smart Grid: synchronicity between PMUs</w:t>
            </w:r>
          </w:p>
        </w:tc>
      </w:tr>
      <w:tr w:rsidR="00B01DEC" w:rsidRPr="00B01DEC" w:rsidTr="000F6B41">
        <w:tc>
          <w:tcPr>
            <w:tcW w:w="896" w:type="pct"/>
            <w:shd w:val="clear" w:color="auto" w:fill="auto"/>
          </w:tcPr>
          <w:p w:rsidR="00B01DEC" w:rsidRPr="00B01DEC" w:rsidRDefault="00B01DEC" w:rsidP="00B01DEC">
            <w:pPr>
              <w:keepNext/>
              <w:keepLines/>
              <w:spacing w:after="0" w:line="276" w:lineRule="auto"/>
              <w:jc w:val="both"/>
              <w:rPr>
                <w:rFonts w:ascii="Arial" w:hAnsi="Arial" w:cs="Arial"/>
                <w:sz w:val="18"/>
                <w:szCs w:val="18"/>
              </w:rPr>
            </w:pPr>
            <w:r w:rsidRPr="00B01DEC">
              <w:rPr>
                <w:rFonts w:ascii="Arial" w:hAnsi="Arial" w:cs="Arial"/>
                <w:sz w:val="18"/>
                <w:szCs w:val="18"/>
              </w:rPr>
              <w:t>5</w:t>
            </w:r>
          </w:p>
        </w:tc>
        <w:tc>
          <w:tcPr>
            <w:tcW w:w="1239" w:type="pct"/>
            <w:shd w:val="clear" w:color="auto" w:fill="auto"/>
          </w:tcPr>
          <w:p w:rsidR="00B01DEC" w:rsidRPr="00B01DEC" w:rsidRDefault="00B01DEC" w:rsidP="00B01DEC">
            <w:pPr>
              <w:keepNext/>
              <w:keepLines/>
              <w:spacing w:after="0" w:line="276" w:lineRule="auto"/>
              <w:jc w:val="both"/>
              <w:rPr>
                <w:rFonts w:ascii="Arial" w:hAnsi="Arial" w:cs="Arial"/>
                <w:sz w:val="18"/>
                <w:szCs w:val="18"/>
              </w:rPr>
            </w:pPr>
            <w:r w:rsidRPr="00B01DEC">
              <w:rPr>
                <w:rFonts w:ascii="Arial" w:hAnsi="Arial"/>
                <w:sz w:val="18"/>
                <w:szCs w:val="24"/>
              </w:rPr>
              <w:t>Up to 10 UEs</w:t>
            </w:r>
          </w:p>
        </w:tc>
        <w:tc>
          <w:tcPr>
            <w:tcW w:w="886" w:type="pct"/>
            <w:shd w:val="clear" w:color="auto" w:fill="auto"/>
          </w:tcPr>
          <w:p w:rsidR="00B01DEC" w:rsidRPr="00B01DEC" w:rsidRDefault="00B01DEC" w:rsidP="00B01DEC">
            <w:pPr>
              <w:keepNext/>
              <w:keepLines/>
              <w:spacing w:after="0" w:line="276" w:lineRule="auto"/>
              <w:jc w:val="both"/>
              <w:rPr>
                <w:rFonts w:ascii="Arial" w:hAnsi="Arial" w:cs="Arial"/>
                <w:sz w:val="18"/>
                <w:szCs w:val="18"/>
              </w:rPr>
            </w:pPr>
            <w:r w:rsidRPr="00B01DEC">
              <w:rPr>
                <w:rFonts w:ascii="Arial" w:hAnsi="Arial" w:cs="Arial"/>
                <w:sz w:val="18"/>
                <w:szCs w:val="18"/>
              </w:rPr>
              <w:t>&lt; 50 µs</w:t>
            </w:r>
          </w:p>
        </w:tc>
        <w:tc>
          <w:tcPr>
            <w:tcW w:w="829" w:type="pct"/>
          </w:tcPr>
          <w:p w:rsidR="00B01DEC" w:rsidRPr="00B01DEC" w:rsidRDefault="00B01DEC" w:rsidP="00B01DEC">
            <w:pPr>
              <w:keepNext/>
              <w:keepLines/>
              <w:spacing w:after="0" w:line="276" w:lineRule="auto"/>
              <w:jc w:val="both"/>
              <w:rPr>
                <w:rFonts w:ascii="Arial" w:eastAsia="Microsoft YaHei" w:hAnsi="Arial" w:cs="Arial"/>
                <w:color w:val="000000"/>
                <w:sz w:val="18"/>
                <w:szCs w:val="18"/>
              </w:rPr>
            </w:pPr>
            <w:r w:rsidRPr="00B01DEC">
              <w:rPr>
                <w:rFonts w:ascii="Arial" w:eastAsia="Microsoft YaHei" w:hAnsi="Arial" w:cs="Arial"/>
                <w:color w:val="000000"/>
                <w:sz w:val="18"/>
                <w:szCs w:val="18"/>
              </w:rPr>
              <w:t>400 km</w:t>
            </w:r>
          </w:p>
        </w:tc>
        <w:tc>
          <w:tcPr>
            <w:tcW w:w="1150" w:type="pct"/>
            <w:shd w:val="clear" w:color="auto" w:fill="auto"/>
          </w:tcPr>
          <w:p w:rsidR="00B01DEC" w:rsidRPr="00B01DEC" w:rsidRDefault="00B01DEC" w:rsidP="00B01DEC">
            <w:pPr>
              <w:keepNext/>
              <w:keepLines/>
              <w:numPr>
                <w:ilvl w:val="0"/>
                <w:numId w:val="11"/>
              </w:numPr>
              <w:spacing w:after="0" w:line="240" w:lineRule="auto"/>
              <w:ind w:left="240" w:hanging="240"/>
              <w:jc w:val="both"/>
              <w:rPr>
                <w:rFonts w:ascii="Arial" w:eastAsia="맑은 고딕" w:hAnsi="Arial"/>
                <w:sz w:val="18"/>
              </w:rPr>
            </w:pPr>
            <w:proofErr w:type="spellStart"/>
            <w:r w:rsidRPr="00B01DEC">
              <w:rPr>
                <w:rFonts w:ascii="Arial" w:eastAsia="맑은 고딕" w:hAnsi="Arial"/>
                <w:sz w:val="18"/>
              </w:rPr>
              <w:t>Telesurgery</w:t>
            </w:r>
            <w:proofErr w:type="spellEnd"/>
            <w:r w:rsidRPr="00B01DEC">
              <w:rPr>
                <w:rFonts w:ascii="Arial" w:eastAsia="맑은 고딕" w:hAnsi="Arial"/>
                <w:sz w:val="18"/>
              </w:rPr>
              <w:t xml:space="preserve"> and </w:t>
            </w:r>
            <w:proofErr w:type="spellStart"/>
            <w:r w:rsidRPr="00B01DEC">
              <w:rPr>
                <w:rFonts w:ascii="Arial" w:eastAsia="맑은 고딕" w:hAnsi="Arial"/>
                <w:sz w:val="18"/>
              </w:rPr>
              <w:t>telediagnosis</w:t>
            </w:r>
            <w:proofErr w:type="spellEnd"/>
          </w:p>
        </w:tc>
      </w:tr>
      <w:tr w:rsidR="00B01DEC" w:rsidRPr="00B01DEC" w:rsidTr="000F6B41">
        <w:tc>
          <w:tcPr>
            <w:tcW w:w="4999" w:type="pct"/>
            <w:gridSpan w:val="5"/>
            <w:shd w:val="clear" w:color="auto" w:fill="auto"/>
          </w:tcPr>
          <w:p w:rsidR="00B01DEC" w:rsidRPr="00B01DEC" w:rsidRDefault="00B01DEC" w:rsidP="00B01DEC">
            <w:pPr>
              <w:keepNext/>
              <w:keepLines/>
              <w:spacing w:after="0" w:line="240" w:lineRule="auto"/>
              <w:ind w:left="851" w:hanging="851"/>
              <w:rPr>
                <w:rFonts w:ascii="Arial" w:eastAsia="맑은 고딕" w:hAnsi="Arial"/>
                <w:sz w:val="18"/>
              </w:rPr>
            </w:pPr>
            <w:r w:rsidRPr="00B01DEC">
              <w:rPr>
                <w:rFonts w:ascii="Arial" w:eastAsia="Calibri" w:hAnsi="Arial"/>
                <w:sz w:val="18"/>
                <w:szCs w:val="22"/>
              </w:rPr>
              <w:t>NOTE:</w:t>
            </w:r>
            <w:r w:rsidRPr="00B01DEC">
              <w:rPr>
                <w:rFonts w:ascii="Arial" w:eastAsia="Calibri" w:hAnsi="Arial"/>
                <w:sz w:val="18"/>
                <w:szCs w:val="22"/>
              </w:rPr>
              <w:tab/>
              <w:t>The clock synchronicity requirement refers to the clock synchronicity budget for the 5G system, as described in Clause 5.6.1.</w:t>
            </w:r>
          </w:p>
        </w:tc>
      </w:tr>
    </w:tbl>
    <w:p w:rsidR="00BC6A67" w:rsidRDefault="00BC6A67" w:rsidP="00BC6A67">
      <w:pPr>
        <w:rPr>
          <w:lang w:eastAsia="ko-KR"/>
        </w:rPr>
      </w:pPr>
    </w:p>
    <w:p w:rsidR="00B01DEC" w:rsidRDefault="00E61061" w:rsidP="00BC6A67">
      <w:pPr>
        <w:rPr>
          <w:lang w:eastAsia="ko-KR"/>
        </w:rPr>
      </w:pPr>
      <w:r w:rsidRPr="00E61061">
        <w:rPr>
          <w:lang w:eastAsia="ko-KR"/>
        </w:rPr>
        <w:t>Uplink time synchronization for TSN considers that sync master functionality is in a UE. It was already pointed out that the clock synchronization inaccuracy between UE of sync master and UE of sync device can exceed 1us because air interface inaccuracy is taken twice into account (i.e. 2x 540ns)</w:t>
      </w:r>
      <w:r>
        <w:rPr>
          <w:lang w:eastAsia="ko-KR"/>
        </w:rPr>
        <w:t xml:space="preserve"> [2</w:t>
      </w:r>
      <w:proofErr w:type="gramStart"/>
      <w:r>
        <w:rPr>
          <w:lang w:eastAsia="ko-KR"/>
        </w:rPr>
        <w:t>][</w:t>
      </w:r>
      <w:proofErr w:type="gramEnd"/>
      <w:r>
        <w:rPr>
          <w:lang w:eastAsia="ko-KR"/>
        </w:rPr>
        <w:t>6]</w:t>
      </w:r>
      <w:r w:rsidRPr="00E61061">
        <w:rPr>
          <w:lang w:eastAsia="ko-KR"/>
        </w:rPr>
        <w:t>.</w:t>
      </w:r>
    </w:p>
    <w:p w:rsidR="00E61061" w:rsidRDefault="00E61061" w:rsidP="00E61061">
      <w:pPr>
        <w:rPr>
          <w:lang w:val="en-US" w:eastAsia="ko-KR"/>
        </w:rPr>
      </w:pPr>
      <w:r w:rsidRPr="00E61061">
        <w:rPr>
          <w:b/>
          <w:lang w:val="en-US" w:eastAsia="ko-KR"/>
        </w:rPr>
        <w:t>Observation 3. The clock synchronization inaccuracy between UE of sync master and UE of sync device can exceed 1us because air interface inaccuracy is taken twice into account (i.e. 2x 540ns).</w:t>
      </w:r>
    </w:p>
    <w:p w:rsidR="00B01DEC" w:rsidRDefault="00B01DEC" w:rsidP="00BC6A67">
      <w:pPr>
        <w:rPr>
          <w:lang w:val="en-US" w:eastAsia="ko-KR"/>
        </w:rPr>
      </w:pPr>
    </w:p>
    <w:p w:rsidR="00E61061" w:rsidRPr="00E61061" w:rsidRDefault="00E61061" w:rsidP="00E61061">
      <w:pPr>
        <w:rPr>
          <w:lang w:val="en-US" w:eastAsia="ko-KR"/>
        </w:rPr>
      </w:pPr>
      <w:r w:rsidRPr="00E61061">
        <w:rPr>
          <w:lang w:val="en-US" w:eastAsia="ko-KR"/>
        </w:rPr>
        <w:t xml:space="preserve">Granularity of TA contributes to air interface inaccuracy. Analysis </w:t>
      </w:r>
      <w:r w:rsidR="00B02C92">
        <w:rPr>
          <w:lang w:val="en-US" w:eastAsia="ko-KR"/>
        </w:rPr>
        <w:t>[7</w:t>
      </w:r>
      <w:proofErr w:type="gramStart"/>
      <w:r w:rsidR="00B02C92">
        <w:rPr>
          <w:lang w:val="en-US" w:eastAsia="ko-KR"/>
        </w:rPr>
        <w:t>][</w:t>
      </w:r>
      <w:proofErr w:type="gramEnd"/>
      <w:r w:rsidR="00B02C92">
        <w:rPr>
          <w:lang w:val="en-US" w:eastAsia="ko-KR"/>
        </w:rPr>
        <w:t>8][9]</w:t>
      </w:r>
      <w:r w:rsidRPr="00E61061">
        <w:rPr>
          <w:lang w:val="en-US" w:eastAsia="ko-KR"/>
        </w:rPr>
        <w:t xml:space="preserve"> w</w:t>
      </w:r>
      <w:r>
        <w:rPr>
          <w:lang w:val="en-US" w:eastAsia="ko-KR"/>
        </w:rPr>
        <w:t>hich are summarized in [3</w:t>
      </w:r>
      <w:r w:rsidRPr="00E61061">
        <w:rPr>
          <w:lang w:val="en-US" w:eastAsia="ko-KR"/>
        </w:rPr>
        <w:t>], explicitly take granularity of TA into account to evaluate air interface inaccuracy. Granularity of TA for 15 kHz SCS is 260ns and its contribution to air interface inaccura</w:t>
      </w:r>
      <w:r w:rsidR="00B02C92">
        <w:rPr>
          <w:lang w:val="en-US" w:eastAsia="ko-KR"/>
        </w:rPr>
        <w:t>cy is 130ns (half granularity).</w:t>
      </w:r>
      <w:r w:rsidR="00B02C92">
        <w:rPr>
          <w:rFonts w:hint="eastAsia"/>
          <w:lang w:val="en-US" w:eastAsia="ko-KR"/>
        </w:rPr>
        <w:t xml:space="preserve"> </w:t>
      </w:r>
      <w:r w:rsidRPr="00E61061">
        <w:rPr>
          <w:lang w:val="en-US" w:eastAsia="ko-KR"/>
        </w:rPr>
        <w:t>The synchronization accuracy requirement would be met in the case of observation 3 if granularity of TA is not higher than 65ns.</w:t>
      </w:r>
    </w:p>
    <w:p w:rsidR="00B02C92" w:rsidRDefault="00B02C92" w:rsidP="00B02C92">
      <w:pPr>
        <w:rPr>
          <w:lang w:val="en-US" w:eastAsia="ko-KR"/>
        </w:rPr>
      </w:pPr>
      <w:r w:rsidRPr="00B02C92">
        <w:rPr>
          <w:b/>
          <w:lang w:val="en-US" w:eastAsia="ko-KR"/>
        </w:rPr>
        <w:t>Observation 4. Granularity of TA for 15 kHz SCS is 260ns and its contribution to air interface inaccuracy is 130ns. If granularity of TA is not higher than 65ns, air interface inaccuracy is less than 443ns. Then the synchronization accuracy requirement would be met.</w:t>
      </w:r>
    </w:p>
    <w:p w:rsidR="00E61061" w:rsidRDefault="00B02C92" w:rsidP="00BC6A67">
      <w:pPr>
        <w:rPr>
          <w:b/>
          <w:lang w:val="en-US" w:eastAsia="ko-KR"/>
        </w:rPr>
      </w:pPr>
      <w:r w:rsidRPr="00B02C92">
        <w:rPr>
          <w:b/>
          <w:lang w:val="en-US" w:eastAsia="ko-KR"/>
        </w:rPr>
        <w:t xml:space="preserve">Proposal 1. RAN2 asks RAN1 about what is the minimum </w:t>
      </w:r>
      <w:r w:rsidR="002E12D1">
        <w:rPr>
          <w:b/>
          <w:lang w:val="en-US" w:eastAsia="ko-KR"/>
        </w:rPr>
        <w:t xml:space="preserve">of </w:t>
      </w:r>
      <w:r w:rsidRPr="00B02C92">
        <w:rPr>
          <w:b/>
          <w:lang w:val="en-US" w:eastAsia="ko-KR"/>
        </w:rPr>
        <w:t>granularity of TA.</w:t>
      </w:r>
    </w:p>
    <w:p w:rsidR="00B02C92" w:rsidRPr="00B02C92" w:rsidRDefault="00B02C92" w:rsidP="00BC6A67">
      <w:pPr>
        <w:rPr>
          <w:lang w:val="en-US" w:eastAsia="ko-KR"/>
        </w:rPr>
      </w:pPr>
      <w:r w:rsidRPr="00B02C92">
        <w:rPr>
          <w:b/>
          <w:lang w:val="en-US" w:eastAsia="ko-KR"/>
        </w:rPr>
        <w:t>Proposal 2. RAN2 discuss whether to increase resolution of TAC by factor of 4 or more.</w:t>
      </w:r>
    </w:p>
    <w:p w:rsidR="00E61061" w:rsidRDefault="00E61061" w:rsidP="00BC6A67">
      <w:pPr>
        <w:rPr>
          <w:lang w:eastAsia="ko-KR"/>
        </w:rPr>
      </w:pPr>
    </w:p>
    <w:p w:rsidR="002E12D1" w:rsidRDefault="002E12D1" w:rsidP="00BC6A67">
      <w:pPr>
        <w:rPr>
          <w:lang w:eastAsia="ko-KR"/>
        </w:rPr>
      </w:pPr>
      <w:r w:rsidRPr="002E12D1">
        <w:rPr>
          <w:lang w:eastAsia="ko-KR"/>
        </w:rPr>
        <w:t xml:space="preserve">Assuming that a UE moves at 108 km/h (30 m/s), the maximum propagation delay change during 1 second is about 100ns. If propagation delay has not been compensated, inaccuracy would be increased by 100ns at the maximum. It is expected that NW sends propagation delay information to UE for compensation, for example, when TA or propagation delay changes </w:t>
      </w:r>
      <w:r>
        <w:rPr>
          <w:lang w:eastAsia="ko-KR"/>
        </w:rPr>
        <w:t xml:space="preserve">more than </w:t>
      </w:r>
      <w:r w:rsidRPr="002E12D1">
        <w:rPr>
          <w:lang w:eastAsia="ko-KR"/>
        </w:rPr>
        <w:t>a threshold. NW can estimate TA when uplink transmission happens. If UE can request TA, it would enhance propagation delay compensation. NW can estimate TA upon the request and inform the estimated TA to UE.</w:t>
      </w:r>
    </w:p>
    <w:p w:rsidR="00E61061" w:rsidRPr="002E12D1" w:rsidRDefault="002E12D1" w:rsidP="00BC6A67">
      <w:pPr>
        <w:rPr>
          <w:b/>
          <w:lang w:val="en-US" w:eastAsia="ko-KR"/>
        </w:rPr>
      </w:pPr>
      <w:r w:rsidRPr="002E12D1">
        <w:rPr>
          <w:b/>
          <w:lang w:val="en-US" w:eastAsia="ko-KR"/>
        </w:rPr>
        <w:t>Proposal 3. UE can request TA for performing propagation delay compensation.</w:t>
      </w:r>
    </w:p>
    <w:p w:rsidR="00B01DEC" w:rsidRPr="002E12D1" w:rsidRDefault="00B01DEC" w:rsidP="00BC6A67">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2E12D1">
      <w:pPr>
        <w:rPr>
          <w:lang w:val="en-US" w:eastAsia="ko-KR"/>
        </w:rPr>
      </w:pPr>
      <w:r w:rsidRPr="002E12D1">
        <w:rPr>
          <w:lang w:val="en-US" w:eastAsia="ko-KR"/>
        </w:rPr>
        <w:t>In this contri</w:t>
      </w:r>
      <w:r>
        <w:rPr>
          <w:lang w:val="en-US" w:eastAsia="ko-KR"/>
        </w:rPr>
        <w:t xml:space="preserve">bution, we have discussed </w:t>
      </w:r>
      <w:r w:rsidRPr="002E12D1">
        <w:rPr>
          <w:lang w:val="en-US" w:eastAsia="ko-KR"/>
        </w:rPr>
        <w:t>support of time synchronization.</w:t>
      </w:r>
    </w:p>
    <w:p w:rsidR="00BC6A67" w:rsidRDefault="0004082E" w:rsidP="004F08D0">
      <w:pPr>
        <w:rPr>
          <w:b/>
          <w:lang w:val="en-US" w:eastAsia="ko-KR"/>
        </w:rPr>
      </w:pPr>
      <w:r w:rsidRPr="00B01DEC">
        <w:rPr>
          <w:b/>
          <w:lang w:val="en-US" w:eastAsia="ko-KR"/>
        </w:rPr>
        <w:lastRenderedPageBreak/>
        <w:t xml:space="preserve">Observation 1. Synchronization accuracy error would be equal to 645ns to which air interface accuracy, network interface accuracy and 10ns granularity of </w:t>
      </w:r>
      <w:proofErr w:type="spellStart"/>
      <w:r w:rsidRPr="00B01DEC">
        <w:rPr>
          <w:b/>
          <w:i/>
          <w:lang w:val="en-US" w:eastAsia="ko-KR"/>
        </w:rPr>
        <w:t>RerferenceTimeInfo</w:t>
      </w:r>
      <w:proofErr w:type="spellEnd"/>
      <w:r w:rsidRPr="00B01DEC">
        <w:rPr>
          <w:b/>
          <w:lang w:val="en-US" w:eastAsia="ko-KR"/>
        </w:rPr>
        <w:t xml:space="preserve"> IE contribute 540ns, 100ns, and 5ns, respectively.</w:t>
      </w:r>
    </w:p>
    <w:p w:rsidR="0004082E" w:rsidRDefault="0004082E" w:rsidP="004F08D0">
      <w:pPr>
        <w:rPr>
          <w:b/>
          <w:lang w:val="en-US" w:eastAsia="ko-KR"/>
        </w:rPr>
      </w:pPr>
      <w:r w:rsidRPr="00E61061">
        <w:rPr>
          <w:b/>
          <w:lang w:val="en-US" w:eastAsia="ko-KR"/>
        </w:rPr>
        <w:t xml:space="preserve">Observation 2. The 5GS synchronicity budget requirement is 900ns. Rel-16 NR still meets the requirement except </w:t>
      </w:r>
      <w:r>
        <w:rPr>
          <w:b/>
          <w:lang w:val="en-US" w:eastAsia="ko-KR"/>
        </w:rPr>
        <w:t xml:space="preserve">the case </w:t>
      </w:r>
      <w:r w:rsidRPr="00E61061">
        <w:rPr>
          <w:b/>
          <w:lang w:val="en-US" w:eastAsia="ko-KR"/>
        </w:rPr>
        <w:t>that sync master functionality is placed in a UE.</w:t>
      </w:r>
    </w:p>
    <w:p w:rsidR="0004082E" w:rsidRDefault="0004082E" w:rsidP="004F08D0">
      <w:pPr>
        <w:rPr>
          <w:b/>
          <w:lang w:val="en-US" w:eastAsia="ko-KR"/>
        </w:rPr>
      </w:pPr>
      <w:r w:rsidRPr="00E61061">
        <w:rPr>
          <w:b/>
          <w:lang w:val="en-US" w:eastAsia="ko-KR"/>
        </w:rPr>
        <w:t>Observation 3. The clock synchronization inaccuracy between UE of sync master and UE of sync device can exceed 1us because air interface inaccuracy is taken twice into account (i.e. 2x 540ns).</w:t>
      </w:r>
    </w:p>
    <w:p w:rsidR="0004082E" w:rsidRDefault="0004082E" w:rsidP="0004082E">
      <w:pPr>
        <w:rPr>
          <w:lang w:val="en-US" w:eastAsia="ko-KR"/>
        </w:rPr>
      </w:pPr>
      <w:r w:rsidRPr="00B02C92">
        <w:rPr>
          <w:b/>
          <w:lang w:val="en-US" w:eastAsia="ko-KR"/>
        </w:rPr>
        <w:t>Observation 4. Granularity of TA for 15 kHz SCS is 260ns and its contribution to air interface inaccuracy is 130ns. If granularity of TA is not higher than 65ns, air interface inaccuracy is less than 443ns. Then the synchronization accuracy requirement would be met.</w:t>
      </w:r>
    </w:p>
    <w:p w:rsidR="0004082E" w:rsidRDefault="0004082E" w:rsidP="0004082E">
      <w:pPr>
        <w:rPr>
          <w:b/>
          <w:lang w:val="en-US" w:eastAsia="ko-KR"/>
        </w:rPr>
      </w:pPr>
      <w:r w:rsidRPr="00B02C92">
        <w:rPr>
          <w:b/>
          <w:lang w:val="en-US" w:eastAsia="ko-KR"/>
        </w:rPr>
        <w:t xml:space="preserve">Proposal 1. RAN2 asks RAN1 about what is the minimum </w:t>
      </w:r>
      <w:r>
        <w:rPr>
          <w:b/>
          <w:lang w:val="en-US" w:eastAsia="ko-KR"/>
        </w:rPr>
        <w:t xml:space="preserve">of </w:t>
      </w:r>
      <w:r w:rsidRPr="00B02C92">
        <w:rPr>
          <w:b/>
          <w:lang w:val="en-US" w:eastAsia="ko-KR"/>
        </w:rPr>
        <w:t>granularity of TA.</w:t>
      </w:r>
    </w:p>
    <w:p w:rsidR="0004082E" w:rsidRDefault="0004082E" w:rsidP="0004082E">
      <w:pPr>
        <w:rPr>
          <w:b/>
          <w:lang w:val="en-US" w:eastAsia="ko-KR"/>
        </w:rPr>
      </w:pPr>
      <w:r w:rsidRPr="00B02C92">
        <w:rPr>
          <w:b/>
          <w:lang w:val="en-US" w:eastAsia="ko-KR"/>
        </w:rPr>
        <w:t>Proposal 2. RAN2 discuss whether to increase resolution of TAC by factor of 4 or more.</w:t>
      </w:r>
    </w:p>
    <w:p w:rsidR="0004082E" w:rsidRDefault="0004082E" w:rsidP="0004082E">
      <w:pPr>
        <w:rPr>
          <w:b/>
          <w:lang w:val="en-US" w:eastAsia="ko-KR"/>
        </w:rPr>
      </w:pPr>
      <w:r w:rsidRPr="002E12D1">
        <w:rPr>
          <w:b/>
          <w:lang w:val="en-US" w:eastAsia="ko-KR"/>
        </w:rPr>
        <w:t>Proposal 3. UE can request TA for performing propagation delay compensation.</w:t>
      </w:r>
    </w:p>
    <w:p w:rsidR="002E12D1" w:rsidRDefault="002E12D1" w:rsidP="004F08D0">
      <w:pPr>
        <w:rPr>
          <w:lang w:val="en-US" w:eastAsia="ko-KR"/>
        </w:rPr>
      </w:pPr>
    </w:p>
    <w:p w:rsidR="00A601D1" w:rsidRDefault="00A601D1" w:rsidP="00A601D1">
      <w:pPr>
        <w:pStyle w:val="1"/>
        <w:rPr>
          <w:lang w:val="en-US"/>
        </w:rPr>
      </w:pPr>
      <w:r>
        <w:rPr>
          <w:lang w:val="en-US"/>
        </w:rPr>
        <w:t>4.</w:t>
      </w:r>
      <w:r>
        <w:rPr>
          <w:lang w:val="en-US"/>
        </w:rPr>
        <w:tab/>
      </w:r>
      <w:r w:rsidRPr="00A601D1">
        <w:rPr>
          <w:lang w:val="en-US"/>
        </w:rPr>
        <w:t>References</w:t>
      </w:r>
    </w:p>
    <w:p w:rsidR="00A601D1" w:rsidRPr="00A601D1" w:rsidRDefault="00A601D1" w:rsidP="00A601D1">
      <w:pPr>
        <w:rPr>
          <w:lang w:val="en-US" w:eastAsia="ko-KR"/>
        </w:rPr>
      </w:pPr>
      <w:r>
        <w:rPr>
          <w:lang w:val="en-US" w:eastAsia="ko-KR"/>
        </w:rPr>
        <w:t>[1</w:t>
      </w:r>
      <w:r w:rsidRPr="00A601D1">
        <w:rPr>
          <w:lang w:val="en-US" w:eastAsia="ko-KR"/>
        </w:rPr>
        <w:t>]</w:t>
      </w:r>
      <w:r>
        <w:rPr>
          <w:lang w:val="en-US" w:eastAsia="ko-KR"/>
        </w:rPr>
        <w:t xml:space="preserve"> </w:t>
      </w:r>
      <w:r w:rsidRPr="00A601D1">
        <w:rPr>
          <w:lang w:val="en-US" w:eastAsia="ko-KR"/>
        </w:rPr>
        <w:t>RP-201310</w:t>
      </w:r>
      <w:r>
        <w:rPr>
          <w:lang w:val="en-US" w:eastAsia="ko-KR"/>
        </w:rPr>
        <w:t xml:space="preserve">, </w:t>
      </w:r>
      <w:r w:rsidRPr="00A601D1">
        <w:rPr>
          <w:lang w:val="en-US" w:eastAsia="ko-KR"/>
        </w:rPr>
        <w:t>Revised WID: Core part: Enhanced Industrial Internet of Things (</w:t>
      </w:r>
      <w:proofErr w:type="spellStart"/>
      <w:r w:rsidRPr="00A601D1">
        <w:rPr>
          <w:lang w:val="en-US" w:eastAsia="ko-KR"/>
        </w:rPr>
        <w:t>IoT</w:t>
      </w:r>
      <w:proofErr w:type="spellEnd"/>
      <w:r w:rsidRPr="00A601D1">
        <w:rPr>
          <w:lang w:val="en-US" w:eastAsia="ko-KR"/>
        </w:rPr>
        <w:t>) and ultra-reliable and low latency communication (URLLC) support for NR</w:t>
      </w:r>
      <w:r>
        <w:rPr>
          <w:lang w:val="en-US" w:eastAsia="ko-KR"/>
        </w:rPr>
        <w:t xml:space="preserve">, </w:t>
      </w:r>
      <w:r w:rsidRPr="00A601D1">
        <w:rPr>
          <w:lang w:val="en-US" w:eastAsia="ko-KR"/>
        </w:rPr>
        <w:t xml:space="preserve">Nokia, </w:t>
      </w:r>
      <w:proofErr w:type="gramStart"/>
      <w:r w:rsidRPr="00A601D1">
        <w:rPr>
          <w:lang w:val="en-US" w:eastAsia="ko-KR"/>
        </w:rPr>
        <w:t>Nokia</w:t>
      </w:r>
      <w:proofErr w:type="gramEnd"/>
      <w:r w:rsidRPr="00A601D1">
        <w:rPr>
          <w:lang w:val="en-US" w:eastAsia="ko-KR"/>
        </w:rPr>
        <w:t xml:space="preserve"> Shanghai Bell</w:t>
      </w:r>
      <w:r>
        <w:rPr>
          <w:lang w:val="en-US" w:eastAsia="ko-KR"/>
        </w:rPr>
        <w:t>.</w:t>
      </w:r>
    </w:p>
    <w:p w:rsidR="00A601D1" w:rsidRDefault="00A601D1" w:rsidP="00A601D1">
      <w:pPr>
        <w:rPr>
          <w:lang w:val="en-US" w:eastAsia="ko-KR"/>
        </w:rPr>
      </w:pPr>
      <w:r>
        <w:rPr>
          <w:lang w:val="en-US" w:eastAsia="ko-KR"/>
        </w:rPr>
        <w:t>[2</w:t>
      </w:r>
      <w:r w:rsidRPr="00A601D1">
        <w:rPr>
          <w:lang w:val="en-US" w:eastAsia="ko-KR"/>
        </w:rPr>
        <w:t>] R2-1914749</w:t>
      </w:r>
      <w:r>
        <w:rPr>
          <w:lang w:val="en-US" w:eastAsia="ko-KR"/>
        </w:rPr>
        <w:t>,</w:t>
      </w:r>
      <w:r w:rsidRPr="00A601D1">
        <w:rPr>
          <w:lang w:val="en-US" w:eastAsia="ko-KR"/>
        </w:rPr>
        <w:t xml:space="preserve"> On Downlink Delay Compensation</w:t>
      </w:r>
      <w:r>
        <w:rPr>
          <w:lang w:val="en-US" w:eastAsia="ko-KR"/>
        </w:rPr>
        <w:t>,</w:t>
      </w:r>
      <w:r w:rsidRPr="00A601D1">
        <w:rPr>
          <w:lang w:val="en-US" w:eastAsia="ko-KR"/>
        </w:rPr>
        <w:t xml:space="preserve"> </w:t>
      </w:r>
      <w:r>
        <w:rPr>
          <w:lang w:val="en-US" w:eastAsia="ko-KR"/>
        </w:rPr>
        <w:t>Ericsson</w:t>
      </w:r>
    </w:p>
    <w:p w:rsidR="00A601D1" w:rsidRDefault="0009280A" w:rsidP="00A601D1">
      <w:pPr>
        <w:rPr>
          <w:lang w:val="en-US" w:eastAsia="ko-KR"/>
        </w:rPr>
      </w:pPr>
      <w:r>
        <w:rPr>
          <w:lang w:val="en-US" w:eastAsia="ko-KR"/>
        </w:rPr>
        <w:t>[3] 3GPP TR 38.825 v16.0.0, “</w:t>
      </w:r>
      <w:r w:rsidR="00A601D1" w:rsidRPr="00A601D1">
        <w:rPr>
          <w:lang w:val="en-US" w:eastAsia="ko-KR"/>
        </w:rPr>
        <w:t>Study on NR Indus</w:t>
      </w:r>
      <w:r>
        <w:rPr>
          <w:lang w:val="en-US" w:eastAsia="ko-KR"/>
        </w:rPr>
        <w:t>trial Internet of Things (</w:t>
      </w:r>
      <w:proofErr w:type="spellStart"/>
      <w:r>
        <w:rPr>
          <w:lang w:val="en-US" w:eastAsia="ko-KR"/>
        </w:rPr>
        <w:t>IoT</w:t>
      </w:r>
      <w:proofErr w:type="spellEnd"/>
      <w:r>
        <w:rPr>
          <w:lang w:val="en-US" w:eastAsia="ko-KR"/>
        </w:rPr>
        <w:t xml:space="preserve">) </w:t>
      </w:r>
      <w:r w:rsidR="00A601D1" w:rsidRPr="00A601D1">
        <w:rPr>
          <w:lang w:val="en-US" w:eastAsia="ko-KR"/>
        </w:rPr>
        <w:t>(Release 16)</w:t>
      </w:r>
      <w:r>
        <w:rPr>
          <w:lang w:val="en-US" w:eastAsia="ko-KR"/>
        </w:rPr>
        <w:t>”.</w:t>
      </w:r>
    </w:p>
    <w:p w:rsidR="0009280A" w:rsidRPr="00A601D1" w:rsidRDefault="0009280A" w:rsidP="00A601D1">
      <w:pPr>
        <w:rPr>
          <w:lang w:val="en-US" w:eastAsia="ko-KR"/>
        </w:rPr>
      </w:pPr>
      <w:r>
        <w:rPr>
          <w:lang w:val="en-US" w:eastAsia="ko-KR"/>
        </w:rPr>
        <w:t>[4] 3GPP TS 38.331 v16.1.0, “</w:t>
      </w:r>
      <w:r w:rsidRPr="0009280A">
        <w:rPr>
          <w:lang w:val="en-US" w:eastAsia="ko-KR"/>
        </w:rPr>
        <w:t>Radio Resource Control (RRC) protocol specification (Release 16)</w:t>
      </w:r>
      <w:r>
        <w:rPr>
          <w:lang w:val="en-US" w:eastAsia="ko-KR"/>
        </w:rPr>
        <w:t>”.</w:t>
      </w:r>
    </w:p>
    <w:p w:rsidR="00A601D1" w:rsidRPr="00A601D1" w:rsidRDefault="00B01DEC" w:rsidP="00A601D1">
      <w:pPr>
        <w:rPr>
          <w:lang w:val="en-US" w:eastAsia="ko-KR"/>
        </w:rPr>
      </w:pPr>
      <w:r>
        <w:rPr>
          <w:lang w:val="en-US" w:eastAsia="ko-KR"/>
        </w:rPr>
        <w:t>[5</w:t>
      </w:r>
      <w:r w:rsidR="00A601D1" w:rsidRPr="00A601D1">
        <w:rPr>
          <w:lang w:val="en-US" w:eastAsia="ko-KR"/>
        </w:rPr>
        <w:t>] R2-1902371</w:t>
      </w:r>
      <w:r>
        <w:rPr>
          <w:lang w:val="en-US" w:eastAsia="ko-KR"/>
        </w:rPr>
        <w:t>,</w:t>
      </w:r>
      <w:r w:rsidR="00A601D1" w:rsidRPr="00A601D1">
        <w:rPr>
          <w:lang w:val="en-US" w:eastAsia="ko-KR"/>
        </w:rPr>
        <w:t xml:space="preserve"> Reply LS on TSN integration in the 5G System</w:t>
      </w:r>
      <w:r>
        <w:rPr>
          <w:lang w:val="en-US" w:eastAsia="ko-KR"/>
        </w:rPr>
        <w:t xml:space="preserve">, </w:t>
      </w:r>
      <w:r w:rsidRPr="00B01DEC">
        <w:rPr>
          <w:lang w:val="en-US" w:eastAsia="ko-KR"/>
        </w:rPr>
        <w:t>TSG RAN WG2</w:t>
      </w:r>
      <w:r>
        <w:rPr>
          <w:lang w:val="en-US" w:eastAsia="ko-KR"/>
        </w:rPr>
        <w:t>.</w:t>
      </w:r>
    </w:p>
    <w:p w:rsidR="00A601D1" w:rsidRDefault="00B01DEC" w:rsidP="00A601D1">
      <w:pPr>
        <w:rPr>
          <w:lang w:val="en-US" w:eastAsia="ko-KR"/>
        </w:rPr>
      </w:pPr>
      <w:r>
        <w:rPr>
          <w:rFonts w:hint="eastAsia"/>
          <w:lang w:val="en-US" w:eastAsia="ko-KR"/>
        </w:rPr>
        <w:t>[</w:t>
      </w:r>
      <w:r>
        <w:rPr>
          <w:lang w:val="en-US" w:eastAsia="ko-KR"/>
        </w:rPr>
        <w:t>6</w:t>
      </w:r>
      <w:r>
        <w:rPr>
          <w:rFonts w:hint="eastAsia"/>
          <w:lang w:val="en-US" w:eastAsia="ko-KR"/>
        </w:rPr>
        <w:t>]</w:t>
      </w:r>
      <w:r>
        <w:rPr>
          <w:lang w:val="en-US" w:eastAsia="ko-KR"/>
        </w:rPr>
        <w:t xml:space="preserve"> 3GPP TS 22.104 v17.3.0, “</w:t>
      </w:r>
      <w:r w:rsidRPr="00B01DEC">
        <w:rPr>
          <w:lang w:val="en-US" w:eastAsia="ko-KR"/>
        </w:rPr>
        <w:t>Service requirements for cyber-physical control applications in vertical domains (Release 17)</w:t>
      </w:r>
      <w:r>
        <w:rPr>
          <w:lang w:val="en-US" w:eastAsia="ko-KR"/>
        </w:rPr>
        <w:t>”.</w:t>
      </w:r>
    </w:p>
    <w:p w:rsidR="008C5BAA" w:rsidRPr="008C5BAA" w:rsidRDefault="008C5BAA" w:rsidP="008C5BAA">
      <w:pPr>
        <w:rPr>
          <w:lang w:val="en-US" w:eastAsia="ko-KR"/>
        </w:rPr>
      </w:pPr>
      <w:r>
        <w:rPr>
          <w:lang w:val="en-US" w:eastAsia="ko-KR"/>
        </w:rPr>
        <w:t xml:space="preserve">[7] </w:t>
      </w:r>
      <w:r w:rsidRPr="008C5BAA">
        <w:rPr>
          <w:lang w:val="en-US" w:eastAsia="ko-KR"/>
        </w:rPr>
        <w:t>R1-1900156</w:t>
      </w:r>
      <w:r>
        <w:rPr>
          <w:lang w:val="en-US" w:eastAsia="ko-KR"/>
        </w:rPr>
        <w:t xml:space="preserve">, </w:t>
      </w:r>
      <w:proofErr w:type="gramStart"/>
      <w:r w:rsidRPr="008C5BAA">
        <w:rPr>
          <w:lang w:val="en-US" w:eastAsia="ko-KR"/>
        </w:rPr>
        <w:t>On</w:t>
      </w:r>
      <w:proofErr w:type="gramEnd"/>
      <w:r w:rsidRPr="008C5BAA">
        <w:rPr>
          <w:lang w:val="en-US" w:eastAsia="ko-KR"/>
        </w:rPr>
        <w:t xml:space="preserve"> evaluation of latency, reliability and TSN requirements</w:t>
      </w:r>
      <w:r>
        <w:rPr>
          <w:lang w:val="en-US" w:eastAsia="ko-KR"/>
        </w:rPr>
        <w:t xml:space="preserve">, </w:t>
      </w:r>
      <w:r w:rsidRPr="008C5BAA">
        <w:rPr>
          <w:lang w:val="en-US" w:eastAsia="ko-KR"/>
        </w:rPr>
        <w:t>ZTE</w:t>
      </w:r>
      <w:r>
        <w:rPr>
          <w:lang w:val="en-US" w:eastAsia="ko-KR"/>
        </w:rPr>
        <w:t>.</w:t>
      </w:r>
    </w:p>
    <w:p w:rsidR="008C5BAA" w:rsidRPr="008C5BAA" w:rsidRDefault="008C5BAA" w:rsidP="008C5BAA">
      <w:pPr>
        <w:rPr>
          <w:lang w:val="en-US" w:eastAsia="ko-KR"/>
        </w:rPr>
      </w:pPr>
      <w:r>
        <w:rPr>
          <w:lang w:val="en-US" w:eastAsia="ko-KR"/>
        </w:rPr>
        <w:t xml:space="preserve">[8] </w:t>
      </w:r>
      <w:r w:rsidRPr="008C5BAA">
        <w:rPr>
          <w:lang w:val="en-US" w:eastAsia="ko-KR"/>
        </w:rPr>
        <w:t>R1-1901334</w:t>
      </w:r>
      <w:r>
        <w:rPr>
          <w:lang w:val="en-US" w:eastAsia="ko-KR"/>
        </w:rPr>
        <w:t xml:space="preserve">, </w:t>
      </w:r>
      <w:r w:rsidRPr="008C5BAA">
        <w:rPr>
          <w:lang w:val="en-US" w:eastAsia="ko-KR"/>
        </w:rPr>
        <w:t xml:space="preserve">TSN evaluations for </w:t>
      </w:r>
      <w:proofErr w:type="spellStart"/>
      <w:r w:rsidRPr="008C5BAA">
        <w:rPr>
          <w:lang w:val="en-US" w:eastAsia="ko-KR"/>
        </w:rPr>
        <w:t>IIoT</w:t>
      </w:r>
      <w:proofErr w:type="spellEnd"/>
      <w:r w:rsidRPr="008C5BAA">
        <w:rPr>
          <w:lang w:val="en-US" w:eastAsia="ko-KR"/>
        </w:rPr>
        <w:t xml:space="preserve"> requirements</w:t>
      </w:r>
      <w:r>
        <w:rPr>
          <w:lang w:val="en-US" w:eastAsia="ko-KR"/>
        </w:rPr>
        <w:t xml:space="preserve">, </w:t>
      </w:r>
      <w:r w:rsidRPr="008C5BAA">
        <w:rPr>
          <w:lang w:val="en-US" w:eastAsia="ko-KR"/>
        </w:rPr>
        <w:t>Intel Corporation</w:t>
      </w:r>
      <w:r>
        <w:rPr>
          <w:lang w:val="en-US" w:eastAsia="ko-KR"/>
        </w:rPr>
        <w:t>.</w:t>
      </w:r>
    </w:p>
    <w:p w:rsidR="00E61061" w:rsidRPr="00A601D1" w:rsidRDefault="008C5BAA" w:rsidP="008C5BAA">
      <w:pPr>
        <w:rPr>
          <w:lang w:val="en-US" w:eastAsia="ko-KR"/>
        </w:rPr>
      </w:pPr>
      <w:r>
        <w:rPr>
          <w:lang w:val="en-US" w:eastAsia="ko-KR"/>
        </w:rPr>
        <w:t xml:space="preserve">[9] </w:t>
      </w:r>
      <w:r w:rsidRPr="008C5BAA">
        <w:rPr>
          <w:lang w:val="en-US" w:eastAsia="ko-KR"/>
        </w:rPr>
        <w:t>R1-1900935</w:t>
      </w:r>
      <w:r>
        <w:rPr>
          <w:lang w:val="en-US" w:eastAsia="ko-KR"/>
        </w:rPr>
        <w:t xml:space="preserve">, </w:t>
      </w:r>
      <w:r w:rsidRPr="008C5BAA">
        <w:rPr>
          <w:lang w:val="en-US" w:eastAsia="ko-KR"/>
        </w:rPr>
        <w:t>Discussion on the RAN2 LS on TSN requirements evaluation</w:t>
      </w:r>
      <w:r>
        <w:rPr>
          <w:lang w:val="en-US" w:eastAsia="ko-KR"/>
        </w:rPr>
        <w:t xml:space="preserve">, </w:t>
      </w:r>
      <w:r w:rsidRPr="008C5BAA">
        <w:rPr>
          <w:lang w:val="en-US" w:eastAsia="ko-KR"/>
        </w:rPr>
        <w:t>Nokia, Nokia Shanghai Bell</w:t>
      </w:r>
      <w:r>
        <w:rPr>
          <w:lang w:val="en-US" w:eastAsia="ko-KR"/>
        </w:rPr>
        <w:t>.</w:t>
      </w:r>
    </w:p>
    <w:p w:rsidR="00A601D1" w:rsidRPr="00BC6A67" w:rsidRDefault="00A601D1" w:rsidP="00A601D1">
      <w:pPr>
        <w:rPr>
          <w:lang w:val="en-US" w:eastAsia="ko-KR"/>
        </w:rPr>
      </w:pPr>
    </w:p>
    <w:sectPr w:rsidR="00A601D1" w:rsidRPr="00BC6A6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EE3" w:rsidRDefault="00A12EE3">
      <w:pPr>
        <w:spacing w:after="0" w:line="240" w:lineRule="auto"/>
      </w:pPr>
      <w:r>
        <w:separator/>
      </w:r>
    </w:p>
  </w:endnote>
  <w:endnote w:type="continuationSeparator" w:id="0">
    <w:p w:rsidR="00A12EE3" w:rsidRDefault="00A12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B141C" w:rsidRDefault="009B14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A2D2F">
      <w:rPr>
        <w:rStyle w:val="a9"/>
        <w:noProof/>
      </w:rPr>
      <w:t>3</w:t>
    </w:r>
    <w:r>
      <w:rPr>
        <w:rStyle w:val="a9"/>
      </w:rPr>
      <w:fldChar w:fldCharType="end"/>
    </w:r>
  </w:p>
  <w:p w:rsidR="009B141C" w:rsidRDefault="009B14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EE3" w:rsidRDefault="00A12EE3">
      <w:pPr>
        <w:spacing w:after="0" w:line="240" w:lineRule="auto"/>
      </w:pPr>
      <w:r>
        <w:separator/>
      </w:r>
    </w:p>
  </w:footnote>
  <w:footnote w:type="continuationSeparator" w:id="0">
    <w:p w:rsidR="00A12EE3" w:rsidRDefault="00A12E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B13BEF"/>
    <w:multiLevelType w:val="hybridMultilevel"/>
    <w:tmpl w:val="136C6840"/>
    <w:lvl w:ilvl="0" w:tplc="28FEF0DE">
      <w:start w:val="4"/>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1"/>
  </w:num>
  <w:num w:numId="4">
    <w:abstractNumId w:val="2"/>
  </w:num>
  <w:num w:numId="5">
    <w:abstractNumId w:val="6"/>
  </w:num>
  <w:num w:numId="6">
    <w:abstractNumId w:val="3"/>
  </w:num>
  <w:num w:numId="7">
    <w:abstractNumId w:val="0"/>
  </w:num>
  <w:num w:numId="8">
    <w:abstractNumId w:val="8"/>
  </w:num>
  <w:num w:numId="9">
    <w:abstractNumId w:val="4"/>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4082E"/>
    <w:rsid w:val="0009280A"/>
    <w:rsid w:val="000965B7"/>
    <w:rsid w:val="000E0FCF"/>
    <w:rsid w:val="000F4EDB"/>
    <w:rsid w:val="00114A3C"/>
    <w:rsid w:val="00207F9A"/>
    <w:rsid w:val="002417BF"/>
    <w:rsid w:val="002E12D1"/>
    <w:rsid w:val="002E6047"/>
    <w:rsid w:val="00452037"/>
    <w:rsid w:val="004F08D0"/>
    <w:rsid w:val="00574307"/>
    <w:rsid w:val="006845FC"/>
    <w:rsid w:val="007123BB"/>
    <w:rsid w:val="0073192B"/>
    <w:rsid w:val="007A4C58"/>
    <w:rsid w:val="00890F3A"/>
    <w:rsid w:val="008A2D2F"/>
    <w:rsid w:val="008C5BAA"/>
    <w:rsid w:val="00904540"/>
    <w:rsid w:val="00991BF4"/>
    <w:rsid w:val="009B141C"/>
    <w:rsid w:val="009B68FB"/>
    <w:rsid w:val="00A12EE3"/>
    <w:rsid w:val="00A601D1"/>
    <w:rsid w:val="00B01DEC"/>
    <w:rsid w:val="00B02C92"/>
    <w:rsid w:val="00BC12A8"/>
    <w:rsid w:val="00BC6A67"/>
    <w:rsid w:val="00C754A1"/>
    <w:rsid w:val="00CB154E"/>
    <w:rsid w:val="00D56D07"/>
    <w:rsid w:val="00D6393F"/>
    <w:rsid w:val="00E610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2D1"/>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A02B61-00BC-491E-B768-AD1528F26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3</Pages>
  <Words>1074</Words>
  <Characters>6124</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 - Seong Kim</cp:lastModifiedBy>
  <cp:revision>178</cp:revision>
  <dcterms:created xsi:type="dcterms:W3CDTF">2020-03-04T00:07:00Z</dcterms:created>
  <dcterms:modified xsi:type="dcterms:W3CDTF">2020-08-07T05:26:00Z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